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comments.xml" ContentType="application/vnd.openxmlformats-officedocument.wordprocessingml.comment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288"/>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0" distR="0" simplePos="0" locked="0" layoutInCell="1" allowOverlap="1" relativeHeight="2">
            <wp:simplePos x="0" y="0"/>
            <wp:positionH relativeFrom="column">
              <wp:posOffset>2753360</wp:posOffset>
            </wp:positionH>
            <wp:positionV relativeFrom="paragraph">
              <wp:posOffset>-218440</wp:posOffset>
            </wp:positionV>
            <wp:extent cx="789305" cy="8712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789305" cy="871220"/>
                    </a:xfrm>
                    <a:prstGeom prst="rect">
                      <a:avLst/>
                    </a:prstGeom>
                  </pic:spPr>
                </pic:pic>
              </a:graphicData>
            </a:graphic>
          </wp:anchor>
        </w:drawing>
      </w:r>
    </w:p>
    <w:p>
      <w:pPr>
        <w:pStyle w:val="Normal"/>
        <w:spacing w:lineRule="auto" w:line="312" w:before="120" w:after="288"/>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240" w:before="0" w:after="0"/>
        <w:ind w:hanging="0"/>
        <w:jc w:val="center"/>
        <w:rPr>
          <w:rFonts w:ascii="Arial" w:hAnsi="Arial" w:cs="Arial"/>
          <w:b/>
          <w:b/>
          <w:bCs/>
          <w:color w:val="000000"/>
          <w:sz w:val="20"/>
          <w:szCs w:val="20"/>
        </w:rPr>
      </w:pPr>
      <w:r>
        <w:rPr>
          <w:rFonts w:cs="Arial" w:ascii="Arial" w:hAnsi="Arial"/>
          <w:b/>
          <w:bCs/>
          <w:color w:val="000000"/>
          <w:sz w:val="20"/>
          <w:szCs w:val="20"/>
        </w:rPr>
        <w:t>MINISTÉRIO DA DEFESA</w:t>
      </w:r>
    </w:p>
    <w:p>
      <w:pPr>
        <w:pStyle w:val="Normal"/>
        <w:spacing w:lineRule="auto" w:line="240" w:before="0" w:after="0"/>
        <w:jc w:val="center"/>
        <w:rPr>
          <w:rFonts w:ascii="Arial" w:hAnsi="Arial" w:cs="Arial"/>
          <w:b/>
          <w:b/>
          <w:bCs/>
          <w:color w:val="000000"/>
          <w:sz w:val="20"/>
          <w:szCs w:val="20"/>
        </w:rPr>
      </w:pPr>
      <w:r>
        <w:rPr>
          <w:rFonts w:ascii="Arial" w:hAnsi="Arial"/>
          <w:b/>
          <w:sz w:val="20"/>
        </w:rPr>
        <w:t>EXÉRCITO BRASILEIRO</w:t>
      </w:r>
    </w:p>
    <w:p>
      <w:pPr>
        <w:pStyle w:val="Normal"/>
        <w:spacing w:lineRule="auto" w:line="240" w:before="0" w:after="0"/>
        <w:jc w:val="center"/>
        <w:rPr>
          <w:rFonts w:ascii="Arial" w:hAnsi="Arial" w:cs="Arial"/>
          <w:b/>
          <w:b/>
          <w:bCs/>
          <w:color w:val="000000"/>
          <w:sz w:val="20"/>
          <w:szCs w:val="20"/>
        </w:rPr>
      </w:pPr>
      <w:r>
        <w:rPr>
          <w:rFonts w:ascii="Arial" w:hAnsi="Arial"/>
          <w:b/>
          <w:sz w:val="20"/>
        </w:rPr>
        <w:t>HOSPITAL MILITAR DE ÁREA DE CAMPO GRANDE</w:t>
      </w:r>
    </w:p>
    <w:p>
      <w:pPr>
        <w:pStyle w:val="Normal"/>
        <w:spacing w:lineRule="auto" w:line="240" w:before="0" w:after="0"/>
        <w:ind w:firstLine="567"/>
        <w:jc w:val="center"/>
        <w:rPr>
          <w:rFonts w:ascii="Arial" w:hAnsi="Arial" w:cs="Arial"/>
          <w:b/>
          <w:b/>
          <w:bCs/>
          <w:color w:val="000000"/>
          <w:sz w:val="20"/>
          <w:szCs w:val="20"/>
        </w:rPr>
      </w:pPr>
      <w:r>
        <w:rPr>
          <w:rFonts w:eastAsia="Times New Roman" w:cs="Arial" w:ascii="Arial" w:hAnsi="Arial"/>
          <w:b/>
          <w:bCs/>
          <w:i/>
          <w:color w:val="000000"/>
          <w:sz w:val="20"/>
          <w:szCs w:val="20"/>
        </w:rPr>
        <w:t>(Hospital Militar de 2ª Classe/1890)</w:t>
      </w:r>
    </w:p>
    <w:p>
      <w:pPr>
        <w:pStyle w:val="Normal"/>
        <w:spacing w:lineRule="auto" w:line="312" w:before="120" w:after="288"/>
        <w:jc w:val="center"/>
        <w:rPr>
          <w:rFonts w:ascii="Arial" w:hAnsi="Arial"/>
          <w:sz w:val="20"/>
          <w:szCs w:val="20"/>
        </w:rPr>
      </w:pPr>
      <w:r>
        <w:rPr>
          <w:rFonts w:eastAsia="Times New Roman" w:cs="Arial" w:ascii="Arial" w:hAnsi="Arial"/>
          <w:b/>
          <w:bCs/>
          <w:i/>
          <w:color w:val="000000"/>
          <w:sz w:val="20"/>
          <w:szCs w:val="20"/>
        </w:rPr>
        <w:t xml:space="preserve">(Processo Administrativo n° </w:t>
      </w:r>
      <w:r>
        <w:rPr>
          <w:rFonts w:eastAsia="Times New Roman" w:cs="Arial" w:ascii="Arial-BoldMT" w:hAnsi="Arial-BoldMT"/>
          <w:b/>
          <w:bCs/>
          <w:i/>
          <w:color w:val="000000"/>
          <w:position w:val="0"/>
          <w:sz w:val="24"/>
          <w:sz w:val="24"/>
          <w:szCs w:val="20"/>
          <w:vertAlign w:val="baseline"/>
        </w:rPr>
        <w:t>64577.003882/2025-80</w:t>
      </w:r>
      <w:r>
        <w:rPr>
          <w:rFonts w:eastAsia="Times New Roman" w:cs="Arial" w:ascii="Arial" w:hAnsi="Arial"/>
          <w:b/>
          <w:bCs/>
          <w:i/>
          <w:color w:val="000000"/>
          <w:sz w:val="20"/>
          <w:szCs w:val="20"/>
        </w:rPr>
        <w:t>)</w:t>
      </w:r>
    </w:p>
    <w:p>
      <w:pPr>
        <w:pStyle w:val="Prembulo"/>
        <w:spacing w:lineRule="auto" w:line="312" w:before="120" w:after="288"/>
        <w:rPr>
          <w:bCs w:val="false"/>
        </w:rPr>
      </w:pPr>
      <w:r>
        <w:rPr>
          <w:bCs w:val="false"/>
        </w:rPr>
        <w:t>CONTRATO ADMINISTRATIVO Nº ......../...., QUE FAZEM ENTRE SI A UNIÃO, POR INTERMÉDIO DO (A)...................................…..... E …........................................</w:t>
      </w:r>
    </w:p>
    <w:p>
      <w:pPr>
        <w:pStyle w:val="Normal"/>
        <w:spacing w:lineRule="auto" w:line="312" w:before="120" w:after="288"/>
        <w:ind w:firstLine="567"/>
        <w:jc w:val="both"/>
        <w:rPr>
          <w:rFonts w:ascii="Arial" w:hAnsi="Arial" w:eastAsia="Arial" w:cs="Arial"/>
          <w:sz w:val="20"/>
          <w:szCs w:val="20"/>
        </w:rPr>
      </w:pPr>
      <w:r>
        <w:rPr>
          <w:rFonts w:eastAsia="Arial" w:cs="Arial" w:ascii="Arial" w:hAnsi="Arial"/>
          <w:i w:val="false"/>
          <w:iCs w:val="false"/>
          <w:color w:val="auto"/>
          <w:sz w:val="20"/>
          <w:szCs w:val="20"/>
        </w:rPr>
        <w:t xml:space="preserve">A União, por intermédio do Hospital Militar de Área de Campo Grande - HMilACG, com sede na Av. Duque de Caxias nº 474, Vila Alba, na cidade de Campo Grande, Estado de Mato Grosso do Sul, inscrito(a) no CNPJ sob o nº </w:t>
      </w:r>
      <w:r>
        <w:rPr>
          <w:rFonts w:eastAsia="Arial" w:cs="Times New Roman" w:ascii="Arial" w:hAnsi="Arial"/>
          <w:i w:val="false"/>
          <w:iCs w:val="false"/>
          <w:color w:val="auto"/>
          <w:sz w:val="20"/>
          <w:szCs w:val="20"/>
        </w:rPr>
        <w:t>09.539.711/0002-94</w:t>
      </w:r>
      <w:r>
        <w:rPr>
          <w:rFonts w:eastAsia="Arial" w:cs="Arial" w:ascii="Arial" w:hAnsi="Arial"/>
          <w:i w:val="false"/>
          <w:iCs w:val="false"/>
          <w:color w:val="auto"/>
          <w:sz w:val="20"/>
          <w:szCs w:val="20"/>
        </w:rPr>
        <w:t xml:space="preserve">, neste ato </w:t>
      </w:r>
      <w:commentRangeStart w:id="0"/>
      <w:r>
        <w:rPr>
          <w:rFonts w:eastAsia="Arial" w:cs="Arial" w:ascii="Arial" w:hAnsi="Arial"/>
          <w:i w:val="false"/>
          <w:iCs w:val="false"/>
          <w:color w:val="auto"/>
          <w:sz w:val="20"/>
          <w:szCs w:val="20"/>
        </w:rPr>
        <w:t xml:space="preserve">representado </w:t>
      </w:r>
      <w:r>
        <w:rPr>
          <w:rFonts w:eastAsia="Arial" w:cs="Times New Roman" w:ascii="Arial" w:hAnsi="Arial"/>
          <w:i w:val="false"/>
          <w:iCs w:val="false"/>
          <w:color w:val="auto"/>
          <w:sz w:val="20"/>
          <w:szCs w:val="20"/>
        </w:rPr>
        <w:t xml:space="preserve">pelo </w:t>
      </w:r>
      <w:r>
        <w:rPr>
          <w:rFonts w:eastAsia="Arial Unicode MS" w:cs="Times New Roman" w:ascii="Arial" w:hAnsi="Arial"/>
          <w:i w:val="false"/>
          <w:iCs w:val="false"/>
          <w:color w:val="auto"/>
          <w:sz w:val="20"/>
          <w:szCs w:val="20"/>
          <w:lang w:bidi="ar-SA"/>
        </w:rPr>
        <w:t xml:space="preserve">Sr </w:t>
      </w:r>
      <w:r>
        <w:rPr>
          <w:rFonts w:eastAsia="Times New Roman" w:cs="Times New Roman" w:ascii="Arial" w:hAnsi="Arial"/>
          <w:b/>
          <w:bCs/>
          <w:i w:val="false"/>
          <w:iCs w:val="false"/>
          <w:color w:val="000000"/>
          <w:kern w:val="2"/>
          <w:sz w:val="20"/>
          <w:szCs w:val="20"/>
          <w:lang w:val="pt-BR" w:eastAsia="zh-CN" w:bidi="ar-SA"/>
        </w:rPr>
        <w:t>PAULO CESAR DOS SANTOS FARIA</w:t>
      </w:r>
      <w:r>
        <w:rPr>
          <w:rFonts w:eastAsia="Arial Unicode MS" w:cs="Times New Roman" w:ascii="Arial" w:hAnsi="Arial"/>
          <w:b/>
          <w:bCs/>
          <w:i w:val="false"/>
          <w:iCs w:val="false"/>
          <w:color w:val="auto"/>
          <w:sz w:val="20"/>
          <w:szCs w:val="20"/>
          <w:lang w:bidi="ar-SA"/>
        </w:rPr>
        <w:t xml:space="preserve"> </w:t>
      </w:r>
      <w:r>
        <w:rPr>
          <w:rFonts w:eastAsia="Arial Unicode MS" w:cs="Times New Roman" w:ascii="Arial" w:hAnsi="Arial"/>
          <w:i w:val="false"/>
          <w:iCs w:val="false"/>
          <w:color w:val="auto"/>
          <w:sz w:val="20"/>
          <w:szCs w:val="20"/>
          <w:lang w:bidi="ar-SA"/>
        </w:rPr>
        <w:t>– Ten Cel</w:t>
      </w:r>
      <w:r>
        <w:rPr>
          <w:rFonts w:eastAsia="Arial" w:cs="Times New Roman" w:ascii="Arial" w:hAnsi="Arial"/>
          <w:i w:val="false"/>
          <w:iCs w:val="false"/>
          <w:color w:val="auto"/>
          <w:sz w:val="20"/>
          <w:szCs w:val="20"/>
        </w:rPr>
        <w:t>, nomeado pela Portaria nº 743, de 7 de junho de 2023, publicado no DOU 109, de 12 de junho de 2023, doravante denominada CONTRATANTE</w:t>
      </w:r>
      <w:r>
        <w:rPr>
          <w:rFonts w:eastAsia="Arial" w:cs="Arial" w:ascii="Arial" w:hAnsi="Arial"/>
          <w:i w:val="false"/>
          <w:iCs w:val="false"/>
          <w:color w:val="auto"/>
          <w:sz w:val="20"/>
          <w:szCs w:val="20"/>
        </w:rPr>
        <w:t xml:space="preserve">, e o(a) .............................., inscrito(a) no CNPJ/MF sob o nº ............................, sediado(a) na ..................................., doravante designado CONTRATADO, neste ato representado(a) por .................................. (nome e função no contratado), conforme atos constitutivos da empresa </w:t>
      </w:r>
      <w:r>
        <w:rPr>
          <w:rFonts w:eastAsia="Arial" w:cs="Arial" w:ascii="Arial" w:hAnsi="Arial"/>
          <w:b/>
          <w:bCs/>
          <w:i w:val="false"/>
          <w:iCs w:val="false"/>
          <w:color w:val="auto"/>
          <w:sz w:val="20"/>
          <w:szCs w:val="20"/>
        </w:rPr>
        <w:t>OU</w:t>
      </w:r>
      <w:r>
        <w:rPr>
          <w:rFonts w:eastAsia="Arial" w:cs="Arial" w:ascii="Arial" w:hAnsi="Arial"/>
          <w:i w:val="false"/>
          <w:iCs w:val="false"/>
          <w:color w:val="auto"/>
          <w:sz w:val="20"/>
          <w:szCs w:val="20"/>
        </w:rPr>
        <w:t xml:space="preserve"> procuração apresentada nos autos, </w:t>
      </w:r>
      <w:r>
        <w:rPr>
          <w:rFonts w:eastAsia="Arial" w:cs="Arial" w:ascii="Arial" w:hAnsi="Arial"/>
          <w:i w:val="false"/>
          <w:iCs w:val="false"/>
          <w:color w:val="auto"/>
          <w:sz w:val="20"/>
          <w:szCs w:val="20"/>
        </w:rPr>
      </w:r>
      <w:commentRangeEnd w:id="0"/>
      <w:r>
        <w:commentReference w:id="0"/>
      </w:r>
      <w:r>
        <w:rPr>
          <w:rFonts w:eastAsia="Arial" w:cs="Arial" w:ascii="Arial" w:hAnsi="Arial"/>
          <w:i w:val="false"/>
          <w:iCs w:val="false"/>
          <w:color w:val="auto"/>
          <w:sz w:val="20"/>
          <w:szCs w:val="20"/>
        </w:rPr>
        <w:t xml:space="preserve">tendo em vista o que consta no Processo nº .............................. e em observância às disposições da </w:t>
      </w:r>
      <w:hyperlink r:id="rId3">
        <w:r>
          <w:rPr>
            <w:rStyle w:val="LinkdaInternet"/>
            <w:rFonts w:eastAsia="Arial" w:cs="Arial" w:ascii="Arial" w:hAnsi="Arial"/>
            <w:i w:val="false"/>
            <w:iCs w:val="false"/>
            <w:color w:val="auto"/>
            <w:sz w:val="20"/>
            <w:szCs w:val="20"/>
          </w:rPr>
          <w:t>Lei nº 14.133, de 1º de abril de 2021</w:t>
        </w:r>
      </w:hyperlink>
      <w:r>
        <w:rPr>
          <w:rFonts w:eastAsia="Arial" w:cs="Arial" w:ascii="Arial" w:hAnsi="Arial"/>
          <w:i w:val="false"/>
          <w:iCs w:val="false"/>
          <w:color w:val="auto"/>
          <w:sz w:val="20"/>
          <w:szCs w:val="20"/>
        </w:rPr>
        <w:t xml:space="preserve">, e demais legislação aplicável, resolvem celebrar o presente Termo de Contrato, decorrente do </w:t>
      </w:r>
      <w:r>
        <w:rPr>
          <w:rFonts w:eastAsia="Arial" w:cs="Arial" w:ascii="Arial" w:hAnsi="Arial"/>
          <w:b/>
          <w:bCs/>
          <w:i w:val="false"/>
          <w:iCs w:val="false"/>
          <w:color w:val="auto"/>
          <w:sz w:val="20"/>
          <w:szCs w:val="20"/>
        </w:rPr>
        <w:t>Pregão Eletrônico nº 90043/24</w:t>
      </w:r>
      <w:r>
        <w:rPr>
          <w:rFonts w:eastAsia="Arial" w:cs="Arial" w:ascii="Arial" w:hAnsi="Arial"/>
          <w:i w:val="false"/>
          <w:iCs w:val="false"/>
          <w:color w:val="auto"/>
          <w:sz w:val="20"/>
          <w:szCs w:val="20"/>
        </w:rPr>
        <w:t>, mediante as cláusulas e condições a seguir enunciadas.</w:t>
      </w:r>
    </w:p>
    <w:p>
      <w:pPr>
        <w:pStyle w:val="Nivel01"/>
        <w:numPr>
          <w:ilvl w:val="0"/>
          <w:numId w:val="2"/>
        </w:numPr>
        <w:rPr>
          <w:color w:val="FFFFFF" w:themeColor="background1"/>
        </w:rPr>
      </w:pPr>
      <w:r>
        <w:rPr/>
        <w:t>CLÁUSULA PRIMEIRA – OBJETO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119"/>
        </w:numPr>
        <w:ind w:left="0" w:hanging="0"/>
        <w:rPr/>
      </w:pPr>
      <w:r>
        <w:rPr/>
        <w:t xml:space="preserve">O objeto do presente instrumento é a </w:t>
      </w:r>
      <w:r>
        <w:rPr>
          <w:rStyle w:val="Refdecomentrio1"/>
          <w:rFonts w:eastAsia="Arial" w:cs="Arial"/>
          <w:b/>
          <w:bCs/>
          <w:i w:val="false"/>
          <w:iCs w:val="false"/>
          <w:caps w:val="false"/>
          <w:smallCaps w:val="false"/>
          <w:strike w:val="false"/>
          <w:dstrike w:val="false"/>
          <w:color w:val="000000"/>
          <w:w w:val="100"/>
          <w:kern w:val="2"/>
          <w:position w:val="0"/>
          <w:sz w:val="16"/>
          <w:sz w:val="20"/>
          <w:szCs w:val="20"/>
          <w:u w:val="none"/>
          <w:effect w:val="none"/>
          <w:vertAlign w:val="baseline"/>
          <w:em w:val="none"/>
          <w:lang w:val="pt-BR" w:eastAsia="zh-CN" w:bidi="hi-IN"/>
        </w:rPr>
        <w:t xml:space="preserve">aquisição de </w:t>
      </w:r>
      <w:r>
        <w:rPr>
          <w:rStyle w:val="Refdecomentrio1"/>
          <w:rFonts w:eastAsia="Arial" w:cs="Arial"/>
          <w:b/>
          <w:bCs/>
          <w:i w:val="false"/>
          <w:iCs w:val="false"/>
          <w:caps w:val="false"/>
          <w:smallCaps w:val="false"/>
          <w:strike w:val="false"/>
          <w:dstrike w:val="false"/>
          <w:color w:val="000000"/>
          <w:w w:val="100"/>
          <w:kern w:val="2"/>
          <w:position w:val="0"/>
          <w:sz w:val="16"/>
          <w:sz w:val="20"/>
          <w:szCs w:val="20"/>
          <w:u w:val="none"/>
          <w:effect w:val="none"/>
          <w:vertAlign w:val="baseline"/>
          <w:em w:val="none"/>
          <w:lang w:val="pt-BR" w:eastAsia="zh-CN" w:bidi="hi-IN"/>
        </w:rPr>
        <w:t>materiais cirúrgicos - PAASSEX</w:t>
      </w:r>
      <w:r>
        <w:rPr/>
        <w:t>, nas condições estabelecidas no Termo de Referência.</w:t>
      </w:r>
    </w:p>
    <w:p>
      <w:pPr>
        <w:pStyle w:val="Nivel2"/>
        <w:numPr>
          <w:ilvl w:val="1"/>
          <w:numId w:val="120"/>
        </w:numPr>
        <w:ind w:left="0" w:hanging="0"/>
        <w:rPr/>
      </w:pPr>
      <w:r>
        <w:rPr/>
        <w:t>Objeto da contratação:</w:t>
      </w:r>
    </w:p>
    <w:tbl>
      <w:tblPr>
        <w:tblW w:w="9498" w:type="dxa"/>
        <w:jc w:val="left"/>
        <w:tblInd w:w="0" w:type="dxa"/>
        <w:tblCellMar>
          <w:top w:w="0" w:type="dxa"/>
          <w:left w:w="108" w:type="dxa"/>
          <w:bottom w:w="0" w:type="dxa"/>
          <w:right w:w="108" w:type="dxa"/>
        </w:tblCellMar>
        <w:tblLook w:firstRow="1" w:noVBand="1" w:lastRow="0" w:firstColumn="1" w:lastColumn="0" w:noHBand="0" w:val="04a0"/>
      </w:tblPr>
      <w:tblGrid>
        <w:gridCol w:w="700"/>
        <w:gridCol w:w="2300"/>
        <w:gridCol w:w="1140"/>
        <w:gridCol w:w="1532"/>
        <w:gridCol w:w="1557"/>
        <w:gridCol w:w="1285"/>
        <w:gridCol w:w="983"/>
      </w:tblGrid>
      <w:tr>
        <w:trPr>
          <w:trHeight w:val="795" w:hRule="atLeast"/>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eastAsia="Arial" w:cs="Arial"/>
                <w:b/>
                <w:b/>
                <w:bCs/>
                <w:color w:val="000000"/>
                <w:sz w:val="20"/>
                <w:szCs w:val="20"/>
              </w:rPr>
            </w:pPr>
            <w:r>
              <w:rPr>
                <w:rFonts w:eastAsia="Arial" w:cs="Arial" w:ascii="Arial" w:hAnsi="Arial"/>
                <w:b/>
                <w:bCs/>
                <w:color w:val="000000" w:themeColor="text1"/>
                <w:sz w:val="20"/>
                <w:szCs w:val="20"/>
              </w:rPr>
              <w:t>ITEM</w:t>
            </w:r>
          </w:p>
        </w:tc>
        <w:tc>
          <w:tcPr>
            <w:tcW w:w="23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1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eastAsia="Arial" w:cs="Arial"/>
                <w:color w:val="000000"/>
                <w:sz w:val="20"/>
                <w:szCs w:val="20"/>
              </w:rPr>
            </w:pPr>
            <w:r>
              <w:rPr>
                <w:rFonts w:eastAsia="Arial" w:cs="Arial" w:ascii="Arial" w:hAnsi="Arial"/>
                <w:b/>
                <w:bCs/>
                <w:color w:val="000000" w:themeColor="text1"/>
                <w:sz w:val="20"/>
                <w:szCs w:val="20"/>
              </w:rPr>
              <w:t>CATMAT</w:t>
            </w:r>
          </w:p>
        </w:tc>
        <w:tc>
          <w:tcPr>
            <w:tcW w:w="153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eastAsia="Arial" w:cs="Arial"/>
                <w:b/>
                <w:b/>
                <w:bCs/>
                <w:sz w:val="20"/>
                <w:szCs w:val="20"/>
              </w:rPr>
            </w:pPr>
            <w:r>
              <w:rPr>
                <w:rFonts w:eastAsia="Arial" w:cs="Arial" w:ascii="Arial" w:hAnsi="Arial"/>
                <w:b/>
                <w:bCs/>
                <w:sz w:val="20"/>
                <w:szCs w:val="20"/>
              </w:rPr>
              <w:t>QUANTIDADE</w:t>
            </w:r>
          </w:p>
        </w:tc>
        <w:tc>
          <w:tcPr>
            <w:tcW w:w="1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eastAsia="Arial" w:cs="Arial"/>
                <w:b/>
                <w:b/>
                <w:bCs/>
                <w:sz w:val="20"/>
                <w:szCs w:val="20"/>
              </w:rPr>
            </w:pPr>
            <w:r>
              <w:rPr>
                <w:rFonts w:eastAsia="Arial" w:cs="Arial" w:ascii="Arial" w:hAnsi="Arial"/>
                <w:b/>
                <w:bCs/>
                <w:sz w:val="20"/>
                <w:szCs w:val="20"/>
              </w:rPr>
              <w:t>VALOR UNITÁRIO</w:t>
            </w:r>
          </w:p>
        </w:tc>
        <w:tc>
          <w:tcPr>
            <w:tcW w:w="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eastAsia="Arial" w:cs="Arial"/>
                <w:b/>
                <w:b/>
                <w:bCs/>
                <w:sz w:val="20"/>
                <w:szCs w:val="20"/>
              </w:rPr>
            </w:pPr>
            <w:r>
              <w:rPr>
                <w:rFonts w:eastAsia="Arial" w:cs="Arial" w:ascii="Arial" w:hAnsi="Arial"/>
                <w:b/>
                <w:bCs/>
                <w:sz w:val="20"/>
                <w:szCs w:val="20"/>
              </w:rPr>
              <w:t>VALOR TOTAL</w:t>
            </w:r>
            <w:r>
              <w:rPr/>
              <w:commentReference w:id="1"/>
            </w:r>
          </w:p>
        </w:tc>
      </w:tr>
      <w:tr>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3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11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153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1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3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11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153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1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eastAsia="Arial" w:cs="Arial"/>
                <w:b/>
                <w:b/>
                <w:bCs/>
                <w:color w:val="000000"/>
                <w:sz w:val="20"/>
                <w:szCs w:val="20"/>
              </w:rPr>
            </w:pPr>
            <w:r>
              <w:rPr>
                <w:rFonts w:eastAsia="Arial" w:cs="Arial" w:ascii="Arial" w:hAnsi="Arial"/>
                <w:b/>
                <w:bCs/>
                <w:color w:val="000000" w:themeColor="text1"/>
                <w:sz w:val="20"/>
                <w:szCs w:val="20"/>
              </w:rPr>
              <w:t>3</w:t>
            </w:r>
          </w:p>
        </w:tc>
        <w:tc>
          <w:tcPr>
            <w:tcW w:w="23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11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153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1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3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eastAsia="Arial" w:cs="Arial"/>
                <w:sz w:val="20"/>
                <w:szCs w:val="20"/>
              </w:rPr>
            </w:pPr>
            <w:r>
              <w:rPr>
                <w:rFonts w:eastAsia="Arial" w:cs="Arial" w:ascii="Arial" w:hAnsi="Arial"/>
                <w:sz w:val="20"/>
                <w:szCs w:val="20"/>
              </w:rPr>
            </w:r>
          </w:p>
        </w:tc>
        <w:tc>
          <w:tcPr>
            <w:tcW w:w="11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153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1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c>
          <w:tcPr>
            <w:tcW w:w="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21"/>
        </w:numPr>
        <w:ind w:left="0" w:hanging="0"/>
        <w:rPr/>
      </w:pPr>
      <w:r>
        <w:rPr/>
        <w:t>Vinculam esta contratação, independentemente de transcrição:</w:t>
      </w:r>
    </w:p>
    <w:p>
      <w:pPr>
        <w:pStyle w:val="Nivel3"/>
        <w:numPr>
          <w:ilvl w:val="2"/>
          <w:numId w:val="122"/>
        </w:numPr>
        <w:ind w:left="284" w:hanging="0"/>
        <w:rPr/>
      </w:pPr>
      <w:r>
        <w:rPr/>
        <w:t>O Termo de Referência;</w:t>
      </w:r>
    </w:p>
    <w:p>
      <w:pPr>
        <w:pStyle w:val="Nivel3"/>
        <w:numPr>
          <w:ilvl w:val="2"/>
          <w:numId w:val="123"/>
        </w:numPr>
        <w:ind w:left="284" w:hanging="0"/>
        <w:rPr/>
      </w:pPr>
      <w:r>
        <w:rPr/>
        <w:t>O Edital da Licitação;</w:t>
      </w:r>
    </w:p>
    <w:p>
      <w:pPr>
        <w:pStyle w:val="Nivel3"/>
        <w:numPr>
          <w:ilvl w:val="2"/>
          <w:numId w:val="124"/>
        </w:numPr>
        <w:ind w:left="284" w:hanging="0"/>
        <w:rPr/>
      </w:pPr>
      <w:r>
        <w:rPr/>
        <w:t>A Proposta do contratado;</w:t>
      </w:r>
    </w:p>
    <w:p>
      <w:pPr>
        <w:pStyle w:val="Nivel3"/>
        <w:numPr>
          <w:ilvl w:val="2"/>
          <w:numId w:val="125"/>
        </w:numPr>
        <w:ind w:left="284" w:hanging="0"/>
        <w:rPr/>
      </w:pPr>
      <w:r>
        <w:rPr/>
        <w:t>Eventuais anexos dos documentos supracitados.</w:t>
      </w:r>
    </w:p>
    <w:p>
      <w:pPr>
        <w:pStyle w:val="Nivel01"/>
        <w:numPr>
          <w:ilvl w:val="0"/>
          <w:numId w:val="126"/>
        </w:numPr>
        <w:ind w:left="0" w:hanging="0"/>
        <w:rPr>
          <w:color w:val="FFFFFF" w:themeColor="background1"/>
        </w:rPr>
      </w:pPr>
      <w:r>
        <w:rPr/>
        <w:t>CLÁUSULA SEGUNDA – VIGÊNCIA E PRORROGAÇÃO</w:t>
      </w:r>
    </w:p>
    <w:p>
      <w:pPr>
        <w:pStyle w:val="Nvel2Red"/>
        <w:numPr>
          <w:ilvl w:val="1"/>
          <w:numId w:val="127"/>
        </w:numPr>
        <w:ind w:left="0" w:hanging="0"/>
        <w:rPr/>
      </w:pPr>
      <w:commentRangeStart w:id="2"/>
      <w:r>
        <w:rPr>
          <w:i w:val="false"/>
          <w:iCs w:val="false"/>
          <w:color w:val="auto"/>
          <w:sz w:val="20"/>
          <w:szCs w:val="20"/>
        </w:rPr>
        <w:t xml:space="preserve">O prazo de vigência da contratação é de 90 (noventa) dias contados após o recebimento da Nota de Empenho pelo fornecedor, na forma do </w:t>
      </w:r>
      <w:r>
        <w:fldChar w:fldCharType="begin"/>
      </w:r>
      <w:r>
        <w:rPr>
          <w:rStyle w:val="LinkdaInternet"/>
          <w:sz w:val="20"/>
          <w:i w:val="false"/>
          <w:szCs w:val="20"/>
          <w:iCs w:val="false"/>
        </w:rPr>
        <w:instrText> HYPERLINK "http://www.planalto.gov.br/ccivil_03/_ato2019-2022/2021/lei/L14133.htm" \l "art105"</w:instrText>
      </w:r>
      <w:r>
        <w:rPr>
          <w:rStyle w:val="LinkdaInternet"/>
          <w:sz w:val="20"/>
          <w:i w:val="false"/>
          <w:szCs w:val="20"/>
          <w:iCs w:val="false"/>
        </w:rPr>
        <w:fldChar w:fldCharType="separate"/>
      </w:r>
      <w:r>
        <w:rPr>
          <w:rStyle w:val="LinkdaInternet"/>
          <w:i w:val="false"/>
          <w:iCs w:val="false"/>
          <w:color w:val="auto"/>
          <w:sz w:val="20"/>
          <w:szCs w:val="20"/>
        </w:rPr>
        <w:t>artigo 105 da Lei n° 14.133, de 2021</w:t>
      </w:r>
      <w:r>
        <w:rPr>
          <w:rStyle w:val="LinkdaInternet"/>
          <w:sz w:val="20"/>
          <w:i w:val="false"/>
          <w:szCs w:val="20"/>
          <w:iCs w:val="false"/>
        </w:rPr>
        <w:fldChar w:fldCharType="end"/>
      </w:r>
      <w:r>
        <w:rPr>
          <w:i w:val="false"/>
          <w:iCs w:val="false"/>
          <w:color w:val="auto"/>
          <w:sz w:val="20"/>
          <w:szCs w:val="20"/>
        </w:rPr>
        <w:t>.</w:t>
      </w:r>
    </w:p>
    <w:p>
      <w:pPr>
        <w:pStyle w:val="Nvel3R"/>
        <w:numPr>
          <w:ilvl w:val="2"/>
          <w:numId w:val="128"/>
        </w:numPr>
        <w:ind w:left="284" w:hanging="0"/>
        <w:rPr>
          <w:i w:val="false"/>
          <w:i w:val="false"/>
          <w:iCs w:val="false"/>
          <w:color w:val="auto"/>
        </w:rPr>
      </w:pPr>
      <w:r>
        <w:rPr>
          <w:i w:val="false"/>
          <w:iCs w:val="false"/>
          <w:color w:val="auto"/>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2"/>
      <w:r>
        <w:commentReference w:id="2"/>
      </w:r>
      <w:r>
        <w:rPr>
          <w:i w:val="false"/>
          <w:iCs w:val="false"/>
          <w:color w:val="auto"/>
        </w:rPr>
      </w:r>
    </w:p>
    <w:p>
      <w:pPr>
        <w:pStyle w:val="Nvel2Red"/>
        <w:numPr>
          <w:ilvl w:val="1"/>
          <w:numId w:val="129"/>
        </w:numPr>
        <w:ind w:left="0" w:hanging="0"/>
        <w:rPr>
          <w:i w:val="false"/>
          <w:i w:val="false"/>
          <w:iCs w:val="false"/>
          <w:color w:val="auto"/>
        </w:rPr>
      </w:pPr>
      <w:r>
        <w:rPr>
          <w:i w:val="false"/>
          <w:iCs w:val="false"/>
          <w:color w:val="000000"/>
          <w:shd w:fill="auto" w:val="clear"/>
        </w:rPr>
        <w:t>O contratado não tem direito subjetivo à prorrogação contratual.</w:t>
      </w:r>
    </w:p>
    <w:p>
      <w:pPr>
        <w:pStyle w:val="Nvel2Red"/>
        <w:numPr>
          <w:ilvl w:val="1"/>
          <w:numId w:val="130"/>
        </w:numPr>
        <w:ind w:left="0" w:hanging="0"/>
        <w:rPr>
          <w:i w:val="false"/>
          <w:i w:val="false"/>
          <w:iCs w:val="false"/>
          <w:color w:val="auto"/>
        </w:rPr>
      </w:pPr>
      <w:r>
        <w:rPr>
          <w:i w:val="false"/>
          <w:iCs w:val="false"/>
          <w:color w:val="000000"/>
          <w:shd w:fill="auto" w:val="clear"/>
        </w:rPr>
        <w:t>A prorrogação de contrato deverá ser promovida mediante celebração de termo aditivo.</w:t>
      </w:r>
    </w:p>
    <w:p>
      <w:pPr>
        <w:pStyle w:val="Nvel2Red"/>
        <w:numPr>
          <w:ilvl w:val="1"/>
          <w:numId w:val="131"/>
        </w:numPr>
        <w:ind w:left="0" w:hanging="0"/>
        <w:rPr>
          <w:i w:val="false"/>
          <w:i w:val="false"/>
          <w:iCs w:val="false"/>
          <w:color w:val="auto"/>
        </w:rPr>
      </w:pPr>
      <w:r>
        <w:rPr>
          <w:i w:val="false"/>
          <w:iCs w:val="false"/>
          <w:color w:val="000000"/>
          <w:shd w:fill="auto" w:val="clear"/>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132"/>
        </w:numPr>
        <w:ind w:left="0" w:hanging="0"/>
        <w:rPr>
          <w:color w:val="FFFFFF" w:themeColor="background1"/>
        </w:rPr>
      </w:pPr>
      <w:r>
        <w:rPr/>
        <w:t>CLÁUSULA TERCEIRA – MODELOS DE EXECUÇÃO E GESTÃO CONTRATUAIS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133"/>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34"/>
        </w:numPr>
        <w:ind w:left="0" w:hanging="0"/>
        <w:rPr/>
      </w:pPr>
      <w:r>
        <w:rPr>
          <w:color w:val="000000"/>
          <w:shd w:fill="auto" w:val="clear"/>
        </w:rPr>
        <w:t>CLÁUSULA QUARTA – SUBCONTRATAÇÃO</w:t>
      </w:r>
    </w:p>
    <w:p>
      <w:pPr>
        <w:pStyle w:val="Nivel2"/>
        <w:numPr>
          <w:ilvl w:val="1"/>
          <w:numId w:val="135"/>
        </w:numPr>
        <w:ind w:left="0" w:hanging="0"/>
        <w:rPr/>
      </w:pPr>
      <w:bookmarkStart w:id="0" w:name="_Hlk182220156"/>
      <w:r>
        <w:rPr>
          <w:i w:val="false"/>
          <w:iCs w:val="false"/>
          <w:color w:val="000000"/>
          <w:shd w:fill="auto" w:val="clear"/>
        </w:rPr>
        <w:t>As regras sobre a subcontratação do objeto são aquelas estabelecidas no Termo de Referência, anexo a este Contrato</w:t>
      </w:r>
      <w:bookmarkEnd w:id="0"/>
      <w:r>
        <w:rPr>
          <w:i w:val="false"/>
          <w:iCs w:val="false"/>
          <w:color w:val="000000"/>
          <w:shd w:fill="auto" w:val="clear"/>
        </w:rPr>
        <w:t>.</w:t>
      </w:r>
    </w:p>
    <w:p>
      <w:pPr>
        <w:pStyle w:val="Nivel01"/>
        <w:numPr>
          <w:ilvl w:val="0"/>
          <w:numId w:val="136"/>
        </w:numPr>
        <w:ind w:left="0" w:hanging="0"/>
        <w:rPr>
          <w:color w:val="FFFFFF" w:themeColor="background1"/>
        </w:rPr>
      </w:pPr>
      <w:r>
        <w:rPr>
          <w:shd w:fill="auto" w:val="clear"/>
        </w:rPr>
        <w:t>CLÁUSULA QUIN</w:t>
      </w:r>
      <w:r>
        <w:rPr/>
        <w:t>TA – PREÇO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commentReference w:id="3"/>
      </w:r>
    </w:p>
    <w:p>
      <w:pPr>
        <w:pStyle w:val="Nvel2Red"/>
        <w:numPr>
          <w:ilvl w:val="1"/>
          <w:numId w:val="137"/>
        </w:numPr>
        <w:ind w:left="0" w:hanging="0"/>
        <w:rPr>
          <w:i w:val="false"/>
          <w:i w:val="false"/>
          <w:iCs w:val="false"/>
          <w:color w:val="auto"/>
        </w:rPr>
      </w:pPr>
      <w:commentRangeStart w:id="4"/>
      <w:r>
        <w:rPr>
          <w:i w:val="false"/>
          <w:iCs w:val="false"/>
          <w:color w:val="000000"/>
          <w:shd w:fill="auto" w:val="clear"/>
        </w:rPr>
        <w:t>O valor total da contratação é de R$.......... (.....)</w:t>
      </w:r>
      <w:commentRangeEnd w:id="4"/>
      <w:r>
        <w:commentReference w:id="4"/>
      </w:r>
      <w:r>
        <w:rPr>
          <w:i w:val="false"/>
          <w:iCs w:val="false"/>
          <w:color w:val="000000"/>
          <w:shd w:fill="auto" w:val="clear"/>
        </w:rPr>
      </w:r>
    </w:p>
    <w:p>
      <w:pPr>
        <w:pStyle w:val="Nivel2"/>
        <w:numPr>
          <w:ilvl w:val="1"/>
          <w:numId w:val="138"/>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39"/>
        </w:numPr>
        <w:ind w:left="0" w:hanging="0"/>
        <w:rPr>
          <w:i w:val="false"/>
          <w:i w:val="false"/>
          <w:iCs w:val="false"/>
          <w:color w:val="auto"/>
        </w:rPr>
      </w:pPr>
      <w:commentRangeStart w:id="5"/>
      <w:r>
        <w:rPr>
          <w:i w:val="false"/>
          <w:iCs w:val="false"/>
          <w:color w:val="000000"/>
          <w:shd w:fill="auto" w:val="clear"/>
        </w:rPr>
        <w:t>O valor acima é meramente estimativo, de forma que os pagamentos devidos ao contratado dependerão dos quantitativos efetivamente fornecidos.</w:t>
      </w:r>
      <w:commentRangeEnd w:id="5"/>
      <w:r>
        <w:commentReference w:id="5"/>
      </w:r>
      <w:r>
        <w:rPr>
          <w:i w:val="false"/>
          <w:iCs w:val="false"/>
          <w:color w:val="000000"/>
          <w:shd w:fill="auto" w:val="clear"/>
        </w:rPr>
      </w:r>
    </w:p>
    <w:p>
      <w:pPr>
        <w:pStyle w:val="Nivel01"/>
        <w:numPr>
          <w:ilvl w:val="0"/>
          <w:numId w:val="140"/>
        </w:numPr>
        <w:ind w:left="0" w:hanging="0"/>
        <w:rPr>
          <w:color w:val="FFFFFF" w:themeColor="background1"/>
        </w:rPr>
      </w:pPr>
      <w:r>
        <w:rPr/>
        <w:t>CLÁUSULA SEXTA - PAGAMENTO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1"/>
          <w:numId w:val="141"/>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42"/>
        </w:numPr>
        <w:ind w:left="0" w:hanging="0"/>
        <w:rPr>
          <w:color w:val="FFFFFF" w:themeColor="background1"/>
        </w:rPr>
      </w:pPr>
      <w:commentRangeStart w:id="6"/>
      <w:r>
        <w:rPr/>
        <w:t>CLÁUSU</w:t>
      </w:r>
      <w:r>
        <w:rPr>
          <w:shd w:fill="auto" w:val="clear"/>
        </w:rPr>
        <w:t>LA SÉTIMA - REAJUSTE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commentRangeEnd w:id="6"/>
      <w:r>
        <w:commentReference w:id="6"/>
      </w:r>
      <w:r>
        <w:rPr>
          <w:rStyle w:val="LinkdaInternet"/>
        </w:rPr>
      </w:r>
    </w:p>
    <w:p>
      <w:pPr>
        <w:pStyle w:val="Nivel2"/>
        <w:numPr>
          <w:ilvl w:val="1"/>
          <w:numId w:val="143"/>
        </w:numPr>
        <w:ind w:left="0" w:hanging="0"/>
        <w:rPr/>
      </w:pPr>
      <w:r>
        <w:rPr>
          <w:color w:val="000000"/>
          <w:shd w:fill="auto" w:val="clear"/>
        </w:rPr>
        <w:t>As regras acerca do reajuste do valor contratual são aquelas definidas no Termo de Referência, anexo a este Contrato.</w:t>
      </w:r>
    </w:p>
    <w:p>
      <w:pPr>
        <w:pStyle w:val="Nivel01"/>
        <w:numPr>
          <w:ilvl w:val="0"/>
          <w:numId w:val="144"/>
        </w:numPr>
        <w:ind w:left="0" w:hanging="0"/>
        <w:rPr>
          <w:color w:val="FFFFFF" w:themeColor="background1"/>
        </w:rPr>
      </w:pPr>
      <w:r>
        <w:rPr>
          <w:shd w:fill="auto" w:val="clear"/>
        </w:rPr>
        <w:t xml:space="preserve">CLÁUSULA OITAVA </w:t>
      </w:r>
      <w:r>
        <w:rPr/>
        <w:t>- OBRIGAÇÕES DO CONTRATANTE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numPr>
          <w:ilvl w:val="1"/>
          <w:numId w:val="145"/>
        </w:numPr>
        <w:ind w:left="0" w:hanging="0"/>
        <w:rPr>
          <w:b/>
          <w:b/>
          <w:bCs/>
        </w:rPr>
      </w:pPr>
      <w:r>
        <w:rPr/>
        <w:t>São obrigações do Contratante:</w:t>
      </w:r>
    </w:p>
    <w:p>
      <w:pPr>
        <w:pStyle w:val="Nivel2"/>
        <w:numPr>
          <w:ilvl w:val="2"/>
          <w:numId w:val="146"/>
        </w:numPr>
        <w:ind w:left="0" w:hanging="0"/>
        <w:rPr/>
      </w:pPr>
      <w:r>
        <w:rPr/>
        <w:t xml:space="preserve">Exigir o cumprimento de todas as obrigações assumidas pelo Contratado, de acordo com o contrato </w:t>
      </w:r>
      <w:r>
        <w:rPr>
          <w:shd w:fill="auto" w:val="clear"/>
        </w:rPr>
        <w:t>e seus anexos;</w:t>
      </w:r>
    </w:p>
    <w:p>
      <w:pPr>
        <w:pStyle w:val="Nivel2"/>
        <w:numPr>
          <w:ilvl w:val="2"/>
          <w:numId w:val="147"/>
        </w:numPr>
        <w:ind w:left="0" w:hanging="0"/>
        <w:rPr/>
      </w:pPr>
      <w:r>
        <w:rPr>
          <w:shd w:fill="auto" w:val="clear"/>
        </w:rPr>
        <w:t>Receber o objeto no prazo e condições estabelecidas no Termo de Referência;</w:t>
      </w:r>
    </w:p>
    <w:p>
      <w:pPr>
        <w:pStyle w:val="Nivel3"/>
        <w:numPr>
          <w:ilvl w:val="2"/>
          <w:numId w:val="148"/>
        </w:numPr>
        <w:ind w:left="284" w:hanging="0"/>
        <w:rPr/>
      </w:pPr>
      <w:r>
        <w:rPr>
          <w:color w:val="000000"/>
          <w:shd w:fill="auto" w:val="clear"/>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2"/>
        <w:numPr>
          <w:ilvl w:val="2"/>
          <w:numId w:val="149"/>
        </w:numPr>
        <w:ind w:left="0" w:hanging="0"/>
        <w:rPr/>
      </w:pPr>
      <w:r>
        <w:rPr>
          <w:shd w:fill="auto" w:val="clear"/>
        </w:rPr>
        <w:t>Acompanhar e fiscalizar a execução do contrato e o cumpriment</w:t>
      </w:r>
      <w:r>
        <w:rPr/>
        <w:t>o das obrigações pelo Contratado;</w:t>
      </w:r>
    </w:p>
    <w:p>
      <w:pPr>
        <w:pStyle w:val="Nivel2"/>
        <w:numPr>
          <w:ilvl w:val="2"/>
          <w:numId w:val="150"/>
        </w:numPr>
        <w:ind w:left="0" w:hanging="0"/>
        <w:rPr/>
      </w:pPr>
      <w:r>
        <w:rPr/>
        <w:t>Efetuar o pagamento ao Contratado do valor correspondente ao fornecimento do objeto, no prazo, forma e condições estabelecidos no presente Contra</w:t>
      </w:r>
      <w:r>
        <w:rPr>
          <w:shd w:fill="auto" w:val="clear"/>
        </w:rPr>
        <w:t>to e no Termo de Referência.</w:t>
      </w:r>
    </w:p>
    <w:p>
      <w:pPr>
        <w:pStyle w:val="Nivel2"/>
        <w:numPr>
          <w:ilvl w:val="2"/>
          <w:numId w:val="151"/>
        </w:numPr>
        <w:ind w:left="0" w:hanging="0"/>
        <w:rPr/>
      </w:pPr>
      <w:r>
        <w:rPr/>
        <w:t xml:space="preserve">Aplicar ao Contratado as sanções previstas na lei e neste Contrato; </w:t>
      </w:r>
    </w:p>
    <w:p>
      <w:pPr>
        <w:pStyle w:val="Nivel2"/>
        <w:numPr>
          <w:ilvl w:val="2"/>
          <w:numId w:val="152"/>
        </w:numPr>
        <w:ind w:left="0" w:hanging="0"/>
        <w:rPr/>
      </w:pPr>
      <w:r>
        <w:rPr/>
        <w:t>Cientificar o órgão de representação judicial da Advocacia-Geral da União para adoção das medidas cabíveis quando do descumprimento de obrigações pelo Contratado;</w:t>
      </w:r>
    </w:p>
    <w:p>
      <w:pPr>
        <w:pStyle w:val="Nivel2"/>
        <w:numPr>
          <w:ilvl w:val="2"/>
          <w:numId w:val="153"/>
        </w:numPr>
        <w:ind w:left="0"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3"/>
          <w:numId w:val="154"/>
        </w:numPr>
        <w:ind w:left="0" w:hanging="0"/>
        <w:rPr>
          <w:b/>
          <w:b/>
          <w:bCs/>
        </w:rPr>
      </w:pPr>
      <w:r>
        <w:rPr/>
        <w:t xml:space="preserve"> </w:t>
      </w:r>
      <w:commentRangeStart w:id="7"/>
      <w:r>
        <w:rPr/>
        <w:t>A Administração ter</w:t>
      </w:r>
      <w:r>
        <w:rPr>
          <w:color w:val="000000"/>
          <w:shd w:fill="auto" w:val="clear"/>
        </w:rPr>
        <w:t>á o prazo de</w:t>
      </w:r>
      <w:r>
        <w:rPr>
          <w:i/>
          <w:iCs/>
          <w:color w:val="000000"/>
          <w:shd w:fill="auto" w:val="clear"/>
        </w:rPr>
        <w:t xml:space="preserve"> __________</w:t>
      </w:r>
      <w:r>
        <w:rPr>
          <w:color w:val="000000"/>
          <w:shd w:fill="auto" w:val="clear"/>
        </w:rPr>
        <w:t xml:space="preserve">, a contar da data do protocolo do requerimento para decidir, admitida a prorrogação motivada, por igual período. </w:t>
      </w:r>
      <w:commentRangeEnd w:id="7"/>
      <w:r>
        <w:commentReference w:id="7"/>
      </w:r>
      <w:r>
        <w:rPr>
          <w:color w:val="000000"/>
          <w:shd w:fill="auto" w:val="clear"/>
        </w:rPr>
      </w:r>
    </w:p>
    <w:p>
      <w:pPr>
        <w:pStyle w:val="Nivel2"/>
        <w:numPr>
          <w:ilvl w:val="2"/>
          <w:numId w:val="155"/>
        </w:numPr>
        <w:ind w:left="0" w:hanging="0"/>
        <w:rPr>
          <w:color w:val="auto"/>
        </w:rPr>
      </w:pPr>
      <w:commentRangeStart w:id="8"/>
      <w:r>
        <w:rPr>
          <w:color w:val="000000"/>
          <w:shd w:fill="auto" w:val="clear"/>
        </w:rPr>
        <w:t>Responder eventuais pedidos de reestabelecimento do equilíbrio econômico-financeiro feitos pelo contratado no prazo máximo de ______________.</w:t>
      </w:r>
      <w:commentRangeEnd w:id="8"/>
      <w:r>
        <w:commentReference w:id="8"/>
      </w:r>
      <w:r>
        <w:rPr>
          <w:color w:val="000000"/>
          <w:shd w:fill="auto" w:val="clear"/>
        </w:rPr>
      </w:r>
    </w:p>
    <w:p>
      <w:pPr>
        <w:pStyle w:val="Nvel2Red"/>
        <w:numPr>
          <w:ilvl w:val="2"/>
          <w:numId w:val="156"/>
        </w:numPr>
        <w:ind w:left="0" w:hanging="0"/>
        <w:rPr>
          <w:i w:val="false"/>
          <w:i w:val="false"/>
          <w:iCs w:val="false"/>
          <w:color w:val="auto"/>
        </w:rPr>
      </w:pPr>
      <w:commentRangeStart w:id="9"/>
      <w:r>
        <w:rPr>
          <w:i w:val="false"/>
          <w:iCs w:val="false"/>
          <w:color w:val="000000"/>
          <w:shd w:fill="auto" w:val="clear"/>
        </w:rPr>
        <w:t>Notificar os emitentes das garantias quanto ao início de processo administrativo para apuração de descumprimento de cláusulas contratuais.</w:t>
      </w:r>
      <w:commentRangeEnd w:id="9"/>
      <w:r>
        <w:commentReference w:id="9"/>
      </w:r>
      <w:r>
        <w:rPr>
          <w:i w:val="false"/>
          <w:iCs w:val="false"/>
          <w:color w:val="000000"/>
          <w:shd w:fill="auto" w:val="clear"/>
        </w:rPr>
      </w:r>
    </w:p>
    <w:p>
      <w:pPr>
        <w:pStyle w:val="Nivel2"/>
        <w:numPr>
          <w:ilvl w:val="1"/>
          <w:numId w:val="157"/>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58"/>
        </w:numPr>
        <w:ind w:left="0" w:hanging="0"/>
        <w:rPr>
          <w:color w:val="FFFFFF" w:themeColor="background1"/>
        </w:rPr>
      </w:pPr>
      <w:commentRangeStart w:id="10"/>
      <w:r>
        <w:rPr/>
        <w:t>CLÁUSULA NONA - OBRIGAÇÕES DO CONTRATADO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commentRangeEnd w:id="10"/>
      <w:r>
        <w:commentReference w:id="10"/>
      </w:r>
      <w:r>
        <w:rPr>
          <w:rStyle w:val="LinkdaInternet"/>
        </w:rPr>
      </w:r>
    </w:p>
    <w:p>
      <w:pPr>
        <w:pStyle w:val="Nivel2"/>
        <w:numPr>
          <w:ilvl w:val="1"/>
          <w:numId w:val="159"/>
        </w:numPr>
        <w:ind w:left="0" w:hanging="0"/>
        <w:rPr/>
      </w:pPr>
      <w: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ivel2"/>
        <w:numPr>
          <w:ilvl w:val="1"/>
          <w:numId w:val="160"/>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e </w:t>
      </w:r>
      <w:r>
        <w:rPr/>
        <w:t>prestar todo esclarecimento ou informação por eles solicitados</w:t>
      </w:r>
      <w:r>
        <w:rPr>
          <w:color w:val="000000" w:themeColor="text1"/>
        </w:rPr>
        <w:t>;</w:t>
      </w:r>
    </w:p>
    <w:p>
      <w:pPr>
        <w:pStyle w:val="Nivel2"/>
        <w:numPr>
          <w:ilvl w:val="1"/>
          <w:numId w:val="161"/>
        </w:numPr>
        <w:ind w:left="0" w:hanging="0"/>
        <w:rPr/>
      </w:pPr>
      <w:commentRangeStart w:id="11"/>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commentRangeEnd w:id="11"/>
      <w:r>
        <w:commentReference w:id="11"/>
      </w:r>
      <w:r>
        <w:rPr/>
      </w:r>
    </w:p>
    <w:p>
      <w:pPr>
        <w:pStyle w:val="Nivel2"/>
        <w:numPr>
          <w:ilvl w:val="1"/>
          <w:numId w:val="162"/>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63"/>
        </w:numPr>
        <w:ind w:left="0" w:hanging="0"/>
        <w:rPr/>
      </w:pPr>
      <w:r>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Nivel3"/>
        <w:numPr>
          <w:ilvl w:val="2"/>
          <w:numId w:val="164"/>
        </w:numPr>
        <w:ind w:left="284" w:hanging="0"/>
        <w:rPr/>
      </w:pPr>
      <w:r>
        <w:rPr/>
        <w:t>prova de regularidade relativa à Seguridade Social;</w:t>
      </w:r>
    </w:p>
    <w:p>
      <w:pPr>
        <w:pStyle w:val="Nivel3"/>
        <w:numPr>
          <w:ilvl w:val="2"/>
          <w:numId w:val="165"/>
        </w:numPr>
        <w:ind w:left="284" w:hanging="0"/>
        <w:rPr/>
      </w:pPr>
      <w:r>
        <w:rPr/>
        <w:t>certidão conjunta relativa aos tributos federais e à Dívida Ativa da União;</w:t>
      </w:r>
    </w:p>
    <w:p>
      <w:pPr>
        <w:pStyle w:val="Nivel3"/>
        <w:numPr>
          <w:ilvl w:val="2"/>
          <w:numId w:val="166"/>
        </w:numPr>
        <w:ind w:left="284" w:hanging="0"/>
        <w:rPr/>
      </w:pPr>
      <w:r>
        <w:rPr/>
        <w:t>certidões que comprovem a regularidade perante a Fazenda Estadual ou Distrital do domicílio ou sede do CONTRATADO;</w:t>
      </w:r>
    </w:p>
    <w:p>
      <w:pPr>
        <w:pStyle w:val="Nivel3"/>
        <w:numPr>
          <w:ilvl w:val="2"/>
          <w:numId w:val="167"/>
        </w:numPr>
        <w:ind w:left="284" w:hanging="0"/>
        <w:rPr/>
      </w:pPr>
      <w:r>
        <w:rPr/>
        <w:t>Certidão de Regularidade do FGTS – CRF; e</w:t>
      </w:r>
    </w:p>
    <w:p>
      <w:pPr>
        <w:pStyle w:val="Nivel3"/>
        <w:numPr>
          <w:ilvl w:val="2"/>
          <w:numId w:val="168"/>
        </w:numPr>
        <w:ind w:left="284" w:hanging="0"/>
        <w:rPr/>
      </w:pPr>
      <w:r>
        <w:rPr/>
        <w:t>Certidão Negativa de Débitos Tra</w:t>
      </w:r>
      <w:r>
        <w:rPr>
          <w:shd w:fill="auto" w:val="clear"/>
        </w:rPr>
        <w:t>balhistas – CNDT.</w:t>
      </w:r>
    </w:p>
    <w:p>
      <w:pPr>
        <w:pStyle w:val="Nivel2"/>
        <w:numPr>
          <w:ilvl w:val="1"/>
          <w:numId w:val="169"/>
        </w:numPr>
        <w:ind w:left="0" w:hanging="0"/>
        <w:rPr/>
      </w:pPr>
      <w:r>
        <w:rPr>
          <w:i w:val="false"/>
          <w:iCs w:val="false"/>
          <w:color w:val="000000"/>
          <w:shd w:fill="auto" w:val="clear"/>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170"/>
        </w:numPr>
        <w:ind w:left="0" w:hanging="0"/>
        <w:rPr/>
      </w:pPr>
      <w:r>
        <w:rPr>
          <w:shd w:fill="auto" w:val="clea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171"/>
        </w:numPr>
        <w:ind w:left="0" w:hanging="0"/>
        <w:rPr/>
      </w:pPr>
      <w:r>
        <w:rPr>
          <w:shd w:fill="auto" w:val="clear"/>
        </w:rPr>
        <w:t>Paralisar, por determinação do contratante, qualque</w:t>
      </w:r>
      <w:r>
        <w:rPr/>
        <w:t>r atividade que não esteja sendo executada de acordo com a boa técnica ou que ponha em risco a segurança de pessoas ou bens de terceiros.</w:t>
      </w:r>
    </w:p>
    <w:p>
      <w:pPr>
        <w:pStyle w:val="Nivel2"/>
        <w:numPr>
          <w:ilvl w:val="1"/>
          <w:numId w:val="172"/>
        </w:numPr>
        <w:ind w:left="0" w:hanging="0"/>
        <w:rPr/>
      </w:pPr>
      <w:r>
        <w:rPr/>
        <w:t xml:space="preserve">Manter durante toda a vigência do contrato, em compatibilidade com as obrigações assumidas, todas as condições exigidas para habilitação na licitação; </w:t>
      </w:r>
    </w:p>
    <w:p>
      <w:pPr>
        <w:pStyle w:val="Nivel2"/>
        <w:numPr>
          <w:ilvl w:val="1"/>
          <w:numId w:val="173"/>
        </w:numPr>
        <w:ind w:left="0" w:hanging="0"/>
        <w:rPr>
          <w:b/>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da Lei n.º 14.133, de 2021</w:t>
      </w:r>
      <w:r>
        <w:rPr>
          <w:rStyle w:val="LinkdaInternet"/>
        </w:rPr>
        <w:fldChar w:fldCharType="end"/>
      </w:r>
      <w:r>
        <w:rPr/>
        <w:t>);</w:t>
      </w:r>
    </w:p>
    <w:p>
      <w:pPr>
        <w:pStyle w:val="Nivel2"/>
        <w:numPr>
          <w:ilvl w:val="1"/>
          <w:numId w:val="174"/>
        </w:numPr>
        <w:ind w:left="0"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parágrafo único, da Lei n.º 14.133, de 2021</w:t>
      </w:r>
      <w:r>
        <w:rPr>
          <w:rStyle w:val="LinkdaInternet"/>
        </w:rPr>
        <w:fldChar w:fldCharType="end"/>
      </w:r>
      <w:r>
        <w:rPr/>
        <w:t>);</w:t>
      </w:r>
    </w:p>
    <w:p>
      <w:pPr>
        <w:pStyle w:val="Nivel2"/>
        <w:numPr>
          <w:ilvl w:val="1"/>
          <w:numId w:val="175"/>
        </w:numPr>
        <w:ind w:left="0" w:hanging="0"/>
        <w:rPr/>
      </w:pPr>
      <w:r>
        <w:rPr/>
        <w:t xml:space="preserve">  </w:t>
      </w:r>
      <w:r>
        <w:rPr/>
        <w:t xml:space="preserve">Guardar sigilo sobre todas as informações obtidas em decorrência do cumprimento do contrato; </w:t>
      </w:r>
    </w:p>
    <w:p>
      <w:pPr>
        <w:pStyle w:val="Nivel2"/>
        <w:numPr>
          <w:ilvl w:val="1"/>
          <w:numId w:val="176"/>
        </w:numPr>
        <w:ind w:left="0" w:hanging="0"/>
        <w:rPr/>
      </w:pPr>
      <w:r>
        <w:rPr/>
        <w:t xml:space="preserve">Arcar com o </w:t>
      </w:r>
      <w:r>
        <w:rPr>
          <w:color w:val="000000"/>
          <w:shd w:fill="auto" w:val="clear"/>
        </w:rPr>
        <w:t xml:space="preserve">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color w:val="000000"/>
        </w:rPr>
        <w:t>art. 124, II, d, da Lei nº 14.133, de 2021.</w:t>
      </w:r>
      <w:r>
        <w:rPr>
          <w:rStyle w:val="LinkdaInternet"/>
        </w:rPr>
        <w:fldChar w:fldCharType="end"/>
      </w:r>
    </w:p>
    <w:p>
      <w:pPr>
        <w:pStyle w:val="Nivel2"/>
        <w:numPr>
          <w:ilvl w:val="1"/>
          <w:numId w:val="177"/>
        </w:numPr>
        <w:ind w:left="0" w:hanging="0"/>
        <w:rPr>
          <w:color w:val="auto"/>
        </w:rPr>
      </w:pPr>
      <w:r>
        <w:rPr>
          <w:color w:val="000000"/>
          <w:shd w:fill="auto" w:val="clear"/>
        </w:rPr>
        <w:t>Cumprir, além dos postulados legais vigentes de âmbito federal, estadual ou municipal, as normas de segurança do contratante;</w:t>
      </w:r>
    </w:p>
    <w:p>
      <w:pPr>
        <w:pStyle w:val="Nvel2Red"/>
        <w:numPr>
          <w:ilvl w:val="1"/>
          <w:numId w:val="178"/>
        </w:numPr>
        <w:ind w:left="0" w:hanging="0"/>
        <w:rPr>
          <w:color w:val="auto"/>
        </w:rPr>
      </w:pPr>
      <w:bookmarkStart w:id="1" w:name="_Ref118293001"/>
      <w:commentRangeStart w:id="12"/>
      <w:r>
        <w:rPr>
          <w:i w:val="false"/>
          <w:iCs w:val="false"/>
          <w:color w:val="000000"/>
          <w:shd w:fill="auto" w:val="clear"/>
        </w:rPr>
        <w:t>Alocar os empregados necessários ao perfeito cumprimento das cláusulas deste contrato, com habilitação e conhecimento adequados;</w:t>
      </w:r>
      <w:bookmarkEnd w:id="1"/>
    </w:p>
    <w:p>
      <w:pPr>
        <w:pStyle w:val="Nvel2Red"/>
        <w:numPr>
          <w:ilvl w:val="1"/>
          <w:numId w:val="179"/>
        </w:numPr>
        <w:ind w:left="0" w:hanging="0"/>
        <w:rPr>
          <w:color w:val="auto"/>
        </w:rPr>
      </w:pPr>
      <w:r>
        <w:rPr>
          <w:i w:val="false"/>
          <w:iCs w:val="false"/>
          <w:color w:val="000000"/>
          <w:shd w:fill="auto" w:val="clear"/>
        </w:rPr>
        <w:t>Prestar os serviços dentro dos parâmetros e rotinas estabelecidos;</w:t>
      </w:r>
    </w:p>
    <w:p>
      <w:pPr>
        <w:pStyle w:val="Nvel2Red"/>
        <w:numPr>
          <w:ilvl w:val="1"/>
          <w:numId w:val="180"/>
        </w:numPr>
        <w:ind w:left="0" w:hanging="0"/>
        <w:rPr>
          <w:color w:val="auto"/>
        </w:rPr>
      </w:pPr>
      <w:r>
        <w:rPr>
          <w:i w:val="false"/>
          <w:iCs w:val="false"/>
          <w:color w:val="000000"/>
          <w:shd w:fill="auto" w:val="clear"/>
        </w:rPr>
        <w:t>Fornecer todos os materiais, equipamentos, ferramentas e utensílios demandados, em quantidade, qualidade e tecnologia adequadas, com a observância às recomendações aceitas pela boa técnica, normas e legislação de regência;</w:t>
      </w:r>
    </w:p>
    <w:p>
      <w:pPr>
        <w:pStyle w:val="Nvel2Red"/>
        <w:numPr>
          <w:ilvl w:val="1"/>
          <w:numId w:val="181"/>
        </w:numPr>
        <w:ind w:left="0" w:hanging="0"/>
        <w:rPr>
          <w:color w:val="auto"/>
        </w:rPr>
      </w:pPr>
      <w:r>
        <w:rPr>
          <w:i w:val="false"/>
          <w:iCs w:val="false"/>
          <w:color w:val="000000"/>
          <w:shd w:fill="auto" w:val="clear"/>
        </w:rPr>
        <w:t>Conduzir os trabalhos com estrita observância às normas da legislação pertinente, cumprindo as determinações dos Poderes Públicos, mantendo sempre limpo o local d</w:t>
      </w:r>
      <w:r>
        <w:rPr>
          <w:i w:val="false"/>
          <w:iCs w:val="false"/>
          <w:color w:val="000000"/>
          <w:shd w:fill="auto" w:val="clear"/>
          <w:lang w:eastAsia="en-US"/>
        </w:rPr>
        <w:t>e execução do objeto</w:t>
      </w:r>
      <w:r>
        <w:rPr>
          <w:i w:val="false"/>
          <w:iCs w:val="false"/>
          <w:color w:val="000000"/>
          <w:shd w:fill="auto" w:val="clear"/>
        </w:rPr>
        <w:t xml:space="preserve"> e nas melhores condições de segurança, higiene e disciplina;</w:t>
      </w:r>
    </w:p>
    <w:p>
      <w:pPr>
        <w:pStyle w:val="Nvel2Red"/>
        <w:numPr>
          <w:ilvl w:val="1"/>
          <w:numId w:val="182"/>
        </w:numPr>
        <w:ind w:left="0" w:hanging="0"/>
        <w:rPr>
          <w:color w:val="auto"/>
        </w:rPr>
      </w:pPr>
      <w:r>
        <w:rPr>
          <w:i w:val="false"/>
          <w:iCs w:val="false"/>
          <w:color w:val="000000"/>
          <w:shd w:fill="auto" w:val="clear"/>
        </w:rPr>
        <w:t>Submeter previamente, por escrito, ao contratante, para análise e aprovação, quaisquer mudanças nos métodos executivos que fujam às especificações do memorial descritivo ou instrumento congênere.</w:t>
      </w:r>
    </w:p>
    <w:p>
      <w:pPr>
        <w:pStyle w:val="Nvel2Red"/>
        <w:numPr>
          <w:ilvl w:val="1"/>
          <w:numId w:val="183"/>
        </w:numPr>
        <w:ind w:left="0" w:hanging="0"/>
        <w:rPr>
          <w:color w:val="auto"/>
        </w:rPr>
      </w:pPr>
      <w:r>
        <w:rPr>
          <w:color w:val="000000"/>
          <w:shd w:fill="auto" w:val="clear"/>
        </w:rPr>
        <w:t>Cumprir as normas de proteção ao trabalho, inclusive aquelas relativas à segurança e à saúde no trabalho;</w:t>
      </w:r>
    </w:p>
    <w:p>
      <w:pPr>
        <w:pStyle w:val="Nvel2Red"/>
        <w:numPr>
          <w:ilvl w:val="1"/>
          <w:numId w:val="184"/>
        </w:numPr>
        <w:ind w:left="0" w:hanging="0"/>
        <w:rPr>
          <w:color w:val="auto"/>
        </w:rPr>
      </w:pPr>
      <w:r>
        <w:rPr>
          <w:color w:val="000000"/>
          <w:shd w:fill="auto" w:val="clear"/>
        </w:rPr>
        <w:t>Não submeter os trabalhadores a condições degradantes de trabalho, jornadas exaustivas, servidão por dívida ou trabalhos forçados;</w:t>
      </w:r>
    </w:p>
    <w:p>
      <w:pPr>
        <w:pStyle w:val="Nvel2Red"/>
        <w:numPr>
          <w:ilvl w:val="1"/>
          <w:numId w:val="185"/>
        </w:numPr>
        <w:ind w:left="0" w:hanging="0"/>
        <w:rPr>
          <w:color w:val="auto"/>
        </w:rPr>
      </w:pPr>
      <w:r>
        <w:rPr>
          <w:color w:val="000000"/>
          <w:shd w:fill="auto" w:val="clear"/>
        </w:rPr>
        <w:t>Não permitir a utilização de qualquer trabalho do menor de dezesseis anos de idade, exceto na condição de aprendiz para os maiores de quatorze anos de idade, observada a legislação pertinente;</w:t>
      </w:r>
    </w:p>
    <w:p>
      <w:pPr>
        <w:pStyle w:val="Nvel2Red"/>
        <w:numPr>
          <w:ilvl w:val="1"/>
          <w:numId w:val="186"/>
        </w:numPr>
        <w:ind w:left="0" w:hanging="0"/>
        <w:rPr>
          <w:color w:val="auto"/>
        </w:rPr>
      </w:pPr>
      <w:r>
        <w:rPr>
          <w:color w:val="000000"/>
          <w:shd w:fill="auto" w:val="clea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vel2Red"/>
        <w:numPr>
          <w:ilvl w:val="1"/>
          <w:numId w:val="187"/>
        </w:numPr>
        <w:ind w:left="0" w:hanging="0"/>
        <w:rPr>
          <w:color w:val="auto"/>
        </w:rPr>
      </w:pPr>
      <w:r>
        <w:rPr>
          <w:i w:val="false"/>
          <w:iCs w:val="false"/>
          <w:color w:val="000000"/>
          <w:shd w:fill="auto" w:val="clear"/>
        </w:rPr>
        <w:t>Receber e dar o tratamento adequado a denúncias de discriminação, violência e assédio no ambiente de trabalho;</w:t>
      </w:r>
    </w:p>
    <w:p>
      <w:pPr>
        <w:pStyle w:val="Nvel2Red"/>
        <w:numPr>
          <w:ilvl w:val="1"/>
          <w:numId w:val="188"/>
        </w:numPr>
        <w:ind w:left="0" w:hanging="0"/>
        <w:rPr>
          <w:color w:val="auto"/>
        </w:rPr>
      </w:pPr>
      <w:r>
        <w:rPr>
          <w:color w:val="000000"/>
          <w:shd w:fill="auto" w:val="clear"/>
        </w:rPr>
        <w:t>Entregar o objeto acompanhado do manual do usuário, com uma versão em português, e da relação da rede de assistência técnica autorizada;</w:t>
      </w:r>
    </w:p>
    <w:p>
      <w:pPr>
        <w:pStyle w:val="Nivel2"/>
        <w:numPr>
          <w:ilvl w:val="1"/>
          <w:numId w:val="189"/>
        </w:numPr>
        <w:ind w:left="0" w:hanging="0"/>
        <w:rPr>
          <w:color w:val="auto"/>
        </w:rPr>
      </w:pPr>
      <w:r>
        <w:rPr>
          <w:color w:val="000000"/>
          <w:shd w:fill="auto" w:val="clear"/>
        </w:rPr>
        <w:t>Responsabilizar-se pelos vícios e danos decorrentes do objeto, de acordo com o Código de Defesa do Consumidor (Lei nº 8.078, de 1990);</w:t>
      </w:r>
    </w:p>
    <w:p>
      <w:pPr>
        <w:pStyle w:val="Nivel2"/>
        <w:numPr>
          <w:ilvl w:val="1"/>
          <w:numId w:val="190"/>
        </w:numPr>
        <w:ind w:left="0" w:hanging="0"/>
        <w:rPr>
          <w:color w:val="auto"/>
        </w:rPr>
      </w:pPr>
      <w:r>
        <w:rPr>
          <w:color w:val="000000"/>
          <w:shd w:fill="auto" w:val="clear"/>
        </w:rPr>
        <w:t>Comunicar ao CONTRATANTE, no prazo máximo de 24 (vinte e quatro) horas que antecede a data da entrega, os motivos que impossibilitem o cumprimento do prazo previsto, com a devida comprovação;</w:t>
      </w:r>
    </w:p>
    <w:p>
      <w:pPr>
        <w:pStyle w:val="Nvel2Red"/>
        <w:numPr>
          <w:ilvl w:val="1"/>
          <w:numId w:val="191"/>
        </w:numPr>
        <w:ind w:left="0" w:hanging="0"/>
        <w:rPr>
          <w:color w:val="auto"/>
        </w:rPr>
      </w:pPr>
      <w:bookmarkStart w:id="2" w:name="_Ref118293030"/>
      <w:commentRangeStart w:id="13"/>
      <w:r>
        <w:rPr>
          <w:i w:val="false"/>
          <w:iCs w:val="false"/>
          <w:color w:val="000000"/>
          <w:shd w:fill="auto" w:val="clear"/>
        </w:rPr>
        <w:t>Orientar e treinar seus empregados sobre os deveres previstos na Lei nº 13.709, de 14 de agosto de 2018, adotando medidas eficazes para proteção de dados pessoais a que tenha acesso por força da execução deste contrato;</w:t>
      </w:r>
      <w:bookmarkEnd w:id="2"/>
      <w:r>
        <w:rPr>
          <w:i w:val="false"/>
          <w:iCs w:val="false"/>
          <w:color w:val="000000"/>
          <w:shd w:fill="auto" w:val="clear"/>
        </w:rPr>
      </w:r>
      <w:commentRangeEnd w:id="13"/>
      <w:r>
        <w:commentReference w:id="13"/>
      </w:r>
      <w:commentRangeEnd w:id="12"/>
      <w:r>
        <w:commentReference w:id="12"/>
      </w:r>
      <w:r>
        <w:rPr>
          <w:i w:val="false"/>
          <w:iCs w:val="false"/>
          <w:color w:val="000000"/>
          <w:shd w:fill="auto" w:val="clear"/>
        </w:rPr>
      </w:r>
    </w:p>
    <w:p>
      <w:pPr>
        <w:pStyle w:val="Nivel01"/>
        <w:numPr>
          <w:ilvl w:val="0"/>
          <w:numId w:val="192"/>
        </w:numPr>
        <w:ind w:left="0" w:hanging="0"/>
        <w:rPr/>
      </w:pPr>
      <w:r>
        <w:rPr>
          <w:color w:val="000000"/>
          <w:shd w:fill="auto" w:val="clear"/>
        </w:rPr>
        <w:t>CLÁUSULA DÉCIMA– GARANTIA DE EXECUÇÃO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000000"/>
        </w:rPr>
        <w:t>art. 92, XII</w:t>
      </w:r>
      <w:r>
        <w:rPr>
          <w:rStyle w:val="LinkdaInternet"/>
        </w:rPr>
        <w:fldChar w:fldCharType="end"/>
      </w:r>
      <w:r>
        <w:rPr>
          <w:color w:val="000000"/>
          <w:shd w:fill="auto" w:val="clear"/>
        </w:rPr>
        <w:t>)</w:t>
      </w:r>
    </w:p>
    <w:p>
      <w:pPr>
        <w:pStyle w:val="Nvel2Red"/>
        <w:numPr>
          <w:ilvl w:val="1"/>
          <w:numId w:val="193"/>
        </w:numPr>
        <w:ind w:left="0" w:hanging="0"/>
        <w:rPr>
          <w:color w:val="auto"/>
        </w:rPr>
      </w:pPr>
      <w:r>
        <w:rPr>
          <w:i w:val="false"/>
          <w:iCs w:val="false"/>
          <w:color w:val="000000"/>
          <w:shd w:fill="auto" w:val="clear"/>
        </w:rPr>
        <w:t xml:space="preserve">  </w:t>
      </w:r>
      <w:commentRangeStart w:id="14"/>
      <w:r>
        <w:rPr>
          <w:i w:val="false"/>
          <w:iCs w:val="false"/>
          <w:color w:val="000000"/>
          <w:shd w:fill="auto" w:val="clear"/>
        </w:rPr>
        <w:t>Não haverá exigência de garantia contratual da execução.</w:t>
      </w:r>
      <w:commentRangeEnd w:id="14"/>
      <w:r>
        <w:commentReference w:id="14"/>
      </w:r>
      <w:r>
        <w:rPr>
          <w:i w:val="false"/>
          <w:iCs w:val="false"/>
          <w:color w:val="000000"/>
          <w:shd w:fill="auto" w:val="clear"/>
        </w:rPr>
      </w:r>
    </w:p>
    <w:p>
      <w:pPr>
        <w:pStyle w:val="Nivel01"/>
        <w:numPr>
          <w:ilvl w:val="0"/>
          <w:numId w:val="194"/>
        </w:numPr>
        <w:ind w:left="0" w:hanging="0"/>
        <w:rPr/>
      </w:pPr>
      <w:r>
        <w:rPr>
          <w:color w:val="000000"/>
          <w:shd w:fill="auto" w:val="clear"/>
        </w:rPr>
        <w:t>CLÁUSULA DÉCIMA PRIMEIRA – INFRAÇÕES E SANÇÕES ADMINISTRATIVAS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000000"/>
        </w:rPr>
        <w:t>art. 92, XIV</w:t>
      </w:r>
      <w:r>
        <w:rPr>
          <w:rStyle w:val="LinkdaInternet"/>
        </w:rPr>
        <w:fldChar w:fldCharType="end"/>
      </w:r>
      <w:r>
        <w:rPr>
          <w:color w:val="000000"/>
          <w:shd w:fill="auto" w:val="clear"/>
        </w:rPr>
        <w:t>)</w:t>
      </w:r>
    </w:p>
    <w:p>
      <w:pPr>
        <w:pStyle w:val="Nivel2"/>
        <w:numPr>
          <w:ilvl w:val="1"/>
          <w:numId w:val="195"/>
        </w:numPr>
        <w:ind w:left="0" w:hanging="0"/>
        <w:rPr/>
      </w:pPr>
      <w:r>
        <w:rPr>
          <w:color w:val="000000"/>
          <w:shd w:fill="auto" w:val="clear"/>
        </w:rPr>
        <w:t>As regras acerca de infrações e sanções administrativas referentes à execução do contrato são aquelas definidas no Termo de Referência, anexo a este Contrato.</w:t>
      </w:r>
    </w:p>
    <w:p>
      <w:pPr>
        <w:pStyle w:val="Nivel01"/>
        <w:numPr>
          <w:ilvl w:val="0"/>
          <w:numId w:val="196"/>
        </w:numPr>
        <w:ind w:left="0" w:hanging="0"/>
        <w:rPr/>
      </w:pPr>
      <w:r>
        <w:rPr>
          <w:i w:val="false"/>
          <w:iCs w:val="false"/>
          <w:color w:val="000000"/>
          <w:shd w:fill="auto" w:val="clear"/>
        </w:rPr>
        <w:t>CLÁUSULA DÉCIMA SEGUNDA– DA EXTINÇÃO CONTRATUAL (</w:t>
      </w:r>
      <w:r>
        <w:fldChar w:fldCharType="begin"/>
      </w:r>
      <w:r>
        <w:rPr>
          <w:rStyle w:val="LinkdaInternet"/>
          <w:i w:val="false"/>
          <w:iCs w:val="false"/>
        </w:rPr>
        <w:instrText> HYPERLINK "http://www.planalto.gov.br/ccivil_03/_ato2019-2022/2021/lei/L14133.htm" \l "art92"</w:instrText>
      </w:r>
      <w:r>
        <w:rPr>
          <w:rStyle w:val="LinkdaInternet"/>
          <w:i w:val="false"/>
          <w:iCs w:val="false"/>
        </w:rPr>
        <w:fldChar w:fldCharType="separate"/>
      </w:r>
      <w:r>
        <w:rPr>
          <w:rStyle w:val="LinkdaInternet"/>
          <w:i w:val="false"/>
          <w:iCs w:val="false"/>
          <w:color w:val="000000"/>
        </w:rPr>
        <w:t>art. 92, XIX</w:t>
      </w:r>
      <w:r>
        <w:rPr>
          <w:rStyle w:val="LinkdaInternet"/>
          <w:i w:val="false"/>
          <w:iCs w:val="false"/>
        </w:rPr>
        <w:fldChar w:fldCharType="end"/>
      </w:r>
      <w:r>
        <w:rPr>
          <w:i w:val="false"/>
          <w:iCs w:val="false"/>
          <w:color w:val="000000"/>
          <w:shd w:fill="auto" w:val="clear"/>
        </w:rPr>
        <w:t>)</w:t>
      </w:r>
    </w:p>
    <w:p>
      <w:pPr>
        <w:pStyle w:val="Nvel2Red"/>
        <w:numPr>
          <w:ilvl w:val="1"/>
          <w:numId w:val="197"/>
        </w:numPr>
        <w:ind w:left="0" w:hanging="0"/>
        <w:rPr>
          <w:i w:val="false"/>
          <w:i w:val="false"/>
          <w:iCs w:val="false"/>
          <w:color w:val="auto"/>
        </w:rPr>
      </w:pPr>
      <w:commentRangeStart w:id="15"/>
      <w:r>
        <w:rPr>
          <w:i w:val="false"/>
          <w:iCs w:val="false"/>
          <w:color w:val="000000"/>
          <w:shd w:fill="auto" w:val="clear"/>
        </w:rPr>
        <w:t>O contrato será extinto quando cumpridas as obrigações de ambas as partes, ainda que isso ocorra antes do prazo estipulado para tanto.</w:t>
      </w:r>
    </w:p>
    <w:p>
      <w:pPr>
        <w:pStyle w:val="Nvel2Red"/>
        <w:numPr>
          <w:ilvl w:val="1"/>
          <w:numId w:val="198"/>
        </w:numPr>
        <w:ind w:left="0" w:hanging="0"/>
        <w:rPr>
          <w:i w:val="false"/>
          <w:i w:val="false"/>
          <w:iCs w:val="false"/>
          <w:color w:val="auto"/>
        </w:rPr>
      </w:pPr>
      <w:r>
        <w:rPr>
          <w:i w:val="false"/>
          <w:iCs w:val="false"/>
          <w:color w:val="000000"/>
          <w:shd w:fill="auto" w:val="clear"/>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199"/>
        </w:numPr>
        <w:ind w:left="284" w:hanging="0"/>
        <w:rPr>
          <w:i w:val="false"/>
          <w:i w:val="false"/>
          <w:iCs w:val="false"/>
          <w:color w:val="auto"/>
        </w:rPr>
      </w:pPr>
      <w:r>
        <w:rPr>
          <w:i w:val="false"/>
          <w:iCs w:val="false"/>
          <w:color w:val="000000"/>
          <w:shd w:fill="auto" w:val="clear"/>
        </w:rPr>
        <w:t>Quando a não conclusão do contrato referida no item anterior decorrer de culpa do contratado:</w:t>
      </w:r>
    </w:p>
    <w:p>
      <w:pPr>
        <w:pStyle w:val="ListParagraph"/>
        <w:numPr>
          <w:ilvl w:val="0"/>
          <w:numId w:val="1"/>
        </w:numPr>
        <w:suppressAutoHyphens w:val="true"/>
        <w:spacing w:lineRule="auto" w:line="312" w:before="120" w:after="120"/>
        <w:ind w:left="567" w:hanging="0"/>
        <w:contextualSpacing/>
        <w:jc w:val="both"/>
        <w:rPr>
          <w:i w:val="false"/>
          <w:i w:val="false"/>
          <w:iCs w:val="false"/>
          <w:color w:val="auto"/>
        </w:rPr>
      </w:pPr>
      <w:r>
        <w:rPr>
          <w:rFonts w:eastAsia="Arial" w:cs="Arial" w:ascii="Arial" w:hAnsi="Arial"/>
          <w:i w:val="false"/>
          <w:iCs w:val="false"/>
          <w:color w:val="000000"/>
          <w:sz w:val="20"/>
          <w:szCs w:val="20"/>
          <w:shd w:fill="auto" w:val="clear"/>
        </w:rPr>
        <w:t xml:space="preserve">ficará ele constituído em mora, sendo-lhe aplicáveis as respectivas sanções administrativas; e  </w:t>
      </w:r>
    </w:p>
    <w:p>
      <w:pPr>
        <w:pStyle w:val="ListParagraph"/>
        <w:numPr>
          <w:ilvl w:val="0"/>
          <w:numId w:val="1"/>
        </w:numPr>
        <w:suppressAutoHyphens w:val="true"/>
        <w:spacing w:lineRule="auto" w:line="312" w:before="120" w:after="120"/>
        <w:ind w:left="567" w:hanging="0"/>
        <w:contextualSpacing/>
        <w:jc w:val="both"/>
        <w:rPr>
          <w:i w:val="false"/>
          <w:i w:val="false"/>
          <w:iCs w:val="false"/>
          <w:color w:val="auto"/>
        </w:rPr>
      </w:pPr>
      <w:r>
        <w:rPr>
          <w:rFonts w:eastAsia="Arial" w:cs="Arial" w:ascii="Arial" w:hAnsi="Arial"/>
          <w:i w:val="false"/>
          <w:iCs w:val="false"/>
          <w:color w:val="000000"/>
          <w:sz w:val="20"/>
          <w:szCs w:val="20"/>
          <w:shd w:fill="auto" w:val="clear"/>
        </w:rPr>
        <w:t>poderá a Administração optar pela extinção do contrato e, nesse caso, adotará as medidas admitidas em lei para a continuidade da execução contratual.</w:t>
      </w:r>
      <w:commentRangeEnd w:id="15"/>
      <w:r>
        <w:commentReference w:id="15"/>
      </w:r>
      <w:r>
        <w:rPr>
          <w:rFonts w:eastAsia="Arial" w:cs="Arial" w:ascii="Arial" w:hAnsi="Arial"/>
          <w:i w:val="false"/>
          <w:iCs w:val="false"/>
          <w:color w:val="000000"/>
          <w:sz w:val="20"/>
          <w:szCs w:val="20"/>
          <w:shd w:fill="auto" w:val="clear"/>
        </w:rPr>
      </w:r>
    </w:p>
    <w:p>
      <w:pPr>
        <w:pStyle w:val="Nivel2"/>
        <w:numPr>
          <w:ilvl w:val="1"/>
          <w:numId w:val="200"/>
        </w:numPr>
        <w:ind w:left="0" w:hanging="0"/>
        <w:rPr/>
      </w:pPr>
      <w:r>
        <w:rPr/>
        <w:t>O c</w:t>
      </w:r>
      <w:r>
        <w:rPr>
          <w:shd w:fill="auto" w:val="clear"/>
        </w:rPr>
        <w:t xml:space="preserve">ontrato poderá ser extinto antes de cumpridas as obrigações nele estipuladas, ou antes do prazo nele fixado, por algum dos motivos previstos no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artigo 137 da Lei nº 14.133/21</w:t>
      </w:r>
      <w:r>
        <w:rPr>
          <w:rStyle w:val="LinkdaInternet"/>
        </w:rPr>
        <w:fldChar w:fldCharType="end"/>
      </w:r>
      <w:r>
        <w:rPr>
          <w:shd w:fill="auto" w:val="clear"/>
        </w:rPr>
        <w:t xml:space="preserve">, bem como amigavelmente, </w:t>
      </w:r>
      <w:r>
        <w:rPr>
          <w:color w:val="000000" w:themeColor="text1"/>
          <w:shd w:fill="auto" w:val="clear"/>
        </w:rPr>
        <w:t>assegurados o contraditório e a ampla defesa</w:t>
      </w:r>
      <w:r>
        <w:rPr>
          <w:shd w:fill="auto" w:val="clear"/>
        </w:rPr>
        <w:t>.</w:t>
      </w:r>
    </w:p>
    <w:p>
      <w:pPr>
        <w:pStyle w:val="Nivel3"/>
        <w:numPr>
          <w:ilvl w:val="2"/>
          <w:numId w:val="201"/>
        </w:numPr>
        <w:ind w:left="284" w:hanging="0"/>
        <w:rPr/>
      </w:pPr>
      <w:r>
        <w:rPr>
          <w:shd w:fill="auto" w:val="clear"/>
        </w:rPr>
        <w:t xml:space="preserve">Nesta hipótese, aplicam-se também os </w:t>
      </w:r>
      <w:r>
        <w:fldChar w:fldCharType="begin"/>
      </w:r>
      <w:r>
        <w:rPr>
          <w:rStyle w:val="LinkdaInternet"/>
        </w:rPr>
        <w:instrText> HYPERLINK "http://www.planalto.gov.br/ccivil_03/_ato2019-2022/2021/lei/L14133.htm" \l "art138"</w:instrText>
      </w:r>
      <w:r>
        <w:rPr>
          <w:rStyle w:val="LinkdaInternet"/>
        </w:rPr>
        <w:fldChar w:fldCharType="separate"/>
      </w:r>
      <w:r>
        <w:rPr>
          <w:rStyle w:val="LinkdaInternet"/>
        </w:rPr>
        <w:t>artigos 138 e 139 da mesma Lei</w:t>
      </w:r>
      <w:r>
        <w:rPr>
          <w:rStyle w:val="LinkdaInternet"/>
        </w:rPr>
        <w:fldChar w:fldCharType="end"/>
      </w:r>
      <w:r>
        <w:rPr>
          <w:shd w:fill="auto" w:val="clear"/>
        </w:rPr>
        <w:t>.</w:t>
      </w:r>
    </w:p>
    <w:p>
      <w:pPr>
        <w:pStyle w:val="Nivel3"/>
        <w:numPr>
          <w:ilvl w:val="2"/>
          <w:numId w:val="202"/>
        </w:numPr>
        <w:ind w:left="284" w:hanging="0"/>
        <w:rPr/>
      </w:pPr>
      <w:r>
        <w:rPr>
          <w:shd w:fill="auto" w:val="clear"/>
        </w:rPr>
        <w:t>A alteração social ou a modificação da finalidade ou da estrutura da empresa não ensejará a extinção se não restringir sua capacidade de concluir o contrato.</w:t>
      </w:r>
    </w:p>
    <w:p>
      <w:pPr>
        <w:pStyle w:val="Nivel4"/>
        <w:numPr>
          <w:ilvl w:val="3"/>
          <w:numId w:val="203"/>
        </w:numPr>
        <w:ind w:left="567" w:hanging="0"/>
        <w:rPr/>
      </w:pPr>
      <w:r>
        <w:rPr>
          <w:color w:val="000000" w:themeColor="text1"/>
          <w:shd w:fill="auto" w:val="clear"/>
        </w:rPr>
        <w:t xml:space="preserve">Se a </w:t>
      </w:r>
      <w:r>
        <w:rPr>
          <w:shd w:fill="auto" w:val="clear"/>
        </w:rPr>
        <w:t>operação</w:t>
      </w:r>
      <w:r>
        <w:rPr>
          <w:color w:val="000000" w:themeColor="text1"/>
          <w:shd w:fill="auto" w:val="clear"/>
        </w:rPr>
        <w:t xml:space="preserve"> </w:t>
      </w:r>
      <w:r>
        <w:rPr>
          <w:shd w:fill="auto" w:val="clear"/>
        </w:rPr>
        <w:t>implicar mudança da pessoa jurídica contratada, deverá ser formalizado termo aditivo para alteração subjetiva.</w:t>
      </w:r>
    </w:p>
    <w:p>
      <w:pPr>
        <w:pStyle w:val="Nivel2"/>
        <w:numPr>
          <w:ilvl w:val="1"/>
          <w:numId w:val="204"/>
        </w:numPr>
        <w:ind w:left="0" w:hanging="0"/>
        <w:rPr/>
      </w:pPr>
      <w:r>
        <w:rPr>
          <w:shd w:fill="auto" w:val="clear"/>
        </w:rPr>
        <w:t>O termo de extinção, sempre que possív</w:t>
      </w:r>
      <w:r>
        <w:rPr/>
        <w:t>el, será precedido:</w:t>
      </w:r>
    </w:p>
    <w:p>
      <w:pPr>
        <w:pStyle w:val="Nivel3"/>
        <w:numPr>
          <w:ilvl w:val="2"/>
          <w:numId w:val="205"/>
        </w:numPr>
        <w:ind w:left="284" w:hanging="0"/>
        <w:rPr/>
      </w:pPr>
      <w:r>
        <w:rPr/>
        <w:t>Balanço dos eventos contratuais já cumpridos ou parcialmente cumpridos;</w:t>
      </w:r>
    </w:p>
    <w:p>
      <w:pPr>
        <w:pStyle w:val="Nivel3"/>
        <w:numPr>
          <w:ilvl w:val="2"/>
          <w:numId w:val="206"/>
        </w:numPr>
        <w:ind w:left="284" w:hanging="0"/>
        <w:rPr/>
      </w:pPr>
      <w:r>
        <w:rPr/>
        <w:t>Relação dos pagamentos já efetuados e ainda devidos;</w:t>
      </w:r>
    </w:p>
    <w:p>
      <w:pPr>
        <w:pStyle w:val="Nivel3"/>
        <w:numPr>
          <w:ilvl w:val="2"/>
          <w:numId w:val="207"/>
        </w:numPr>
        <w:ind w:left="284" w:hanging="0"/>
        <w:rPr/>
      </w:pPr>
      <w:r>
        <w:rPr/>
        <w:t>Indeni</w:t>
      </w:r>
      <w:r>
        <w:rPr>
          <w:shd w:fill="auto" w:val="clear"/>
        </w:rPr>
        <w:t>zações e multas.</w:t>
      </w:r>
    </w:p>
    <w:p>
      <w:pPr>
        <w:pStyle w:val="Nivel2"/>
        <w:numPr>
          <w:ilvl w:val="1"/>
          <w:numId w:val="208"/>
        </w:numPr>
        <w:ind w:left="0" w:hanging="0"/>
        <w:rPr/>
      </w:pPr>
      <w:r>
        <w:rPr>
          <w:shd w:fill="auto" w:val="clear"/>
        </w:rPr>
        <w:t>A extinção do contrato não configura óbice para o reconhecimento do desequilíbrio econômico-financeiro, hipótese em que será concedida indenização por meio de termo indenizatório.</w:t>
      </w:r>
    </w:p>
    <w:p>
      <w:pPr>
        <w:pStyle w:val="Nivel2"/>
        <w:numPr>
          <w:ilvl w:val="1"/>
          <w:numId w:val="209"/>
        </w:numPr>
        <w:ind w:left="0" w:hanging="0"/>
        <w:rPr/>
      </w:pPr>
      <w:r>
        <w:rPr>
          <w:shd w:fill="auto" w:val="clear"/>
        </w:rPr>
        <w:t>O CONTRATANTE poderá ainda:</w:t>
      </w:r>
    </w:p>
    <w:p>
      <w:pPr>
        <w:pStyle w:val="Nivel3"/>
        <w:numPr>
          <w:ilvl w:val="2"/>
          <w:numId w:val="210"/>
        </w:numPr>
        <w:ind w:left="284" w:hanging="0"/>
        <w:rPr/>
      </w:pPr>
      <w:r>
        <w:rPr>
          <w:shd w:fill="auto" w:val="clear"/>
        </w:rPr>
        <w:t>nos casos de obrigação de pagamento de multa pelo CONTRATADO, reter a garantia prestada a ser executada, conforme legislação que rege a matéria; e</w:t>
      </w:r>
    </w:p>
    <w:p>
      <w:pPr>
        <w:pStyle w:val="Nivel3"/>
        <w:numPr>
          <w:ilvl w:val="2"/>
          <w:numId w:val="211"/>
        </w:numPr>
        <w:ind w:left="284" w:hanging="0"/>
        <w:rPr/>
      </w:pPr>
      <w:r>
        <w:rPr>
          <w:shd w:fill="auto" w:val="clea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212"/>
        </w:numPr>
        <w:ind w:left="0" w:hanging="0"/>
        <w:rPr/>
      </w:pPr>
      <w:r>
        <w:rPr>
          <w:shd w:fill="auto"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pPr>
        <w:pStyle w:val="Nivel01"/>
        <w:numPr>
          <w:ilvl w:val="0"/>
          <w:numId w:val="213"/>
        </w:numPr>
        <w:ind w:left="0" w:hanging="785"/>
        <w:rPr>
          <w:color w:val="FFFFFF" w:themeColor="background1"/>
        </w:rPr>
      </w:pPr>
      <w:r>
        <w:rPr/>
        <w:t>CLÁUSULA DÉCIMA TERCEIRA – ALTERAÇÕES</w:t>
      </w:r>
    </w:p>
    <w:p>
      <w:pPr>
        <w:pStyle w:val="Nivel2"/>
        <w:numPr>
          <w:ilvl w:val="1"/>
          <w:numId w:val="214"/>
        </w:numPr>
        <w:ind w:left="0" w:hanging="0"/>
        <w:rPr/>
      </w:pPr>
      <w:r>
        <w:rPr/>
        <w:t>Eventuais alterações contratuais reger-se-ão pela disciplina dos arts. 124 e seguintes da Lei nº 14.133, de 2021.</w:t>
      </w:r>
    </w:p>
    <w:p>
      <w:pPr>
        <w:pStyle w:val="Nivel2"/>
        <w:numPr>
          <w:ilvl w:val="1"/>
          <w:numId w:val="215"/>
        </w:numPr>
        <w:ind w:left="0" w:hanging="0"/>
        <w:rPr/>
      </w:pPr>
      <w:r>
        <w:rPr/>
        <w:t>O</w:t>
      </w:r>
      <w:r>
        <w:rPr>
          <w:shd w:fill="auto" w:val="clear"/>
        </w:rPr>
        <w:t xml:space="preserve"> CONTRATADO é obrigado a aceitar, nas mesmas condições contratuais, os acréscimos ou supressões que se fizerem necessários, até o limite de 25% (vinte e cinco por cento) do valor inicial atualizado do contrato.</w:t>
      </w:r>
    </w:p>
    <w:p>
      <w:pPr>
        <w:pStyle w:val="Nivel2"/>
        <w:numPr>
          <w:ilvl w:val="1"/>
          <w:numId w:val="216"/>
        </w:numPr>
        <w:ind w:left="0" w:hanging="0"/>
        <w:rPr/>
      </w:pPr>
      <w:commentRangeStart w:id="16"/>
      <w:r>
        <w:rPr>
          <w:shd w:fill="auto" w:val="clear"/>
        </w:rPr>
        <w:t>As supressões resultantes de acordo celebrado entre as partes contratantes poderão exceder o limite de 25% (vinte e cinco por cento) do valor inicial atualizado do contrato.</w:t>
      </w:r>
      <w:commentRangeEnd w:id="16"/>
      <w:r>
        <w:commentReference w:id="16"/>
      </w:r>
      <w:r>
        <w:rPr>
          <w:shd w:fill="auto" w:val="clear"/>
        </w:rPr>
      </w:r>
    </w:p>
    <w:p>
      <w:pPr>
        <w:pStyle w:val="Nivel2"/>
        <w:numPr>
          <w:ilvl w:val="1"/>
          <w:numId w:val="217"/>
        </w:numPr>
        <w:ind w:left="0" w:hanging="0"/>
        <w:rPr/>
      </w:pPr>
      <w:r>
        <w:rPr>
          <w:shd w:fill="auto"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w:t>
      </w:r>
      <w:r>
        <w:rPr/>
        <w:t>o máximo de 1 (um) mês.</w:t>
      </w:r>
    </w:p>
    <w:p>
      <w:pPr>
        <w:pStyle w:val="Nivel2"/>
        <w:numPr>
          <w:ilvl w:val="1"/>
          <w:numId w:val="218"/>
        </w:numPr>
        <w:ind w:left="0" w:hanging="0"/>
        <w:rPr/>
      </w:pPr>
      <w:r>
        <w:rPr>
          <w:shd w:fill="auto" w:val="clear"/>
        </w:rPr>
        <w:t>Registros que não caracterizam alteração do contrato podem ser realizados por simples apostila, dispensada a celebração de termo aditivo, na forma do art. 136 da Lei nº 14.133, de 2021.</w:t>
      </w:r>
    </w:p>
    <w:p>
      <w:pPr>
        <w:pStyle w:val="Nivel01"/>
        <w:numPr>
          <w:ilvl w:val="0"/>
          <w:numId w:val="219"/>
        </w:numPr>
        <w:ind w:left="0" w:hanging="0"/>
        <w:rPr>
          <w:color w:val="FFFFFF" w:themeColor="background1"/>
        </w:rPr>
      </w:pPr>
      <w:r>
        <w:rPr/>
        <w:t xml:space="preserve">CLÁUSULA DÉCIMA </w:t>
      </w:r>
      <w:r>
        <w:rPr>
          <w:rFonts w:eastAsia="" w:cs="Arial"/>
          <w:b/>
          <w:bCs/>
          <w:color w:val="auto"/>
          <w:kern w:val="0"/>
          <w:sz w:val="20"/>
          <w:szCs w:val="20"/>
          <w:lang w:val="pt-BR" w:eastAsia="pt-BR" w:bidi="ar-SA"/>
        </w:rPr>
        <w:t>QUARTA</w:t>
      </w:r>
      <w:r>
        <w:rPr/>
        <w:t xml:space="preserve"> – DOTAÇÃO ORÇAMENTÁRIA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220"/>
        </w:numPr>
        <w:ind w:left="0" w:hanging="0"/>
        <w:rPr/>
      </w:pPr>
      <w:r>
        <w:rPr/>
        <w:t>As despesas decorrentes da presente contratação correrão à conta de recursos específicos consignados no Orçamento Geral da União deste exercício, na dotação abaixo discriminada:</w:t>
      </w:r>
    </w:p>
    <w:p>
      <w:pPr>
        <w:pStyle w:val="Nivel3"/>
        <w:numPr>
          <w:ilvl w:val="2"/>
          <w:numId w:val="221"/>
        </w:numPr>
        <w:ind w:left="284" w:hanging="0"/>
        <w:rPr/>
      </w:pPr>
      <w:r>
        <w:rPr/>
        <w:t xml:space="preserve">Gestão/Unidade: </w:t>
      </w:r>
    </w:p>
    <w:p>
      <w:pPr>
        <w:pStyle w:val="Nivel3"/>
        <w:numPr>
          <w:ilvl w:val="2"/>
          <w:numId w:val="222"/>
        </w:numPr>
        <w:ind w:left="284" w:hanging="0"/>
        <w:rPr/>
      </w:pPr>
      <w:r>
        <w:rPr/>
        <w:t>Fonte de Recursos:</w:t>
      </w:r>
    </w:p>
    <w:p>
      <w:pPr>
        <w:pStyle w:val="Nivel3"/>
        <w:numPr>
          <w:ilvl w:val="2"/>
          <w:numId w:val="223"/>
        </w:numPr>
        <w:ind w:left="284" w:hanging="0"/>
        <w:rPr/>
      </w:pPr>
      <w:r>
        <w:rPr/>
        <w:t xml:space="preserve">Programa de Trabalho: </w:t>
      </w:r>
    </w:p>
    <w:p>
      <w:pPr>
        <w:pStyle w:val="Nivel3"/>
        <w:numPr>
          <w:ilvl w:val="2"/>
          <w:numId w:val="224"/>
        </w:numPr>
        <w:ind w:left="284" w:hanging="0"/>
        <w:rPr/>
      </w:pPr>
      <w:r>
        <w:rPr/>
        <w:t xml:space="preserve">Elemento de Despesa: </w:t>
      </w:r>
    </w:p>
    <w:p>
      <w:pPr>
        <w:pStyle w:val="Nivel3"/>
        <w:numPr>
          <w:ilvl w:val="2"/>
          <w:numId w:val="225"/>
        </w:numPr>
        <w:ind w:left="284" w:hanging="0"/>
        <w:rPr/>
      </w:pPr>
      <w:r>
        <w:rPr/>
        <w:t xml:space="preserve">Plano Interno: </w:t>
      </w:r>
    </w:p>
    <w:p>
      <w:pPr>
        <w:pStyle w:val="Nivel3"/>
        <w:numPr>
          <w:ilvl w:val="2"/>
          <w:numId w:val="226"/>
        </w:numPr>
        <w:ind w:left="284" w:hanging="0"/>
        <w:rPr/>
      </w:pPr>
      <w:r>
        <w:rPr/>
        <w:t>Nota de Empenho:</w:t>
      </w:r>
    </w:p>
    <w:p>
      <w:pPr>
        <w:pStyle w:val="Nvel2Red"/>
        <w:numPr>
          <w:ilvl w:val="1"/>
          <w:numId w:val="227"/>
        </w:numPr>
        <w:ind w:left="0" w:hanging="0"/>
        <w:rPr>
          <w:color w:val="auto"/>
        </w:rPr>
      </w:pPr>
      <w:commentRangeStart w:id="17"/>
      <w:r>
        <w:rPr>
          <w:color w:val="000000"/>
          <w:shd w:fill="auto" w:val="clear"/>
        </w:rPr>
        <w:t>A dotação relativa aos exercícios financeiros subsequentes será indicada após aprovação da Lei Orçamentária respectiva e liberação dos créditos correspondentes, mediante apostilamento.</w:t>
      </w:r>
      <w:commentRangeEnd w:id="17"/>
      <w:r>
        <w:commentReference w:id="17"/>
      </w:r>
      <w:r>
        <w:rPr>
          <w:color w:val="000000"/>
          <w:shd w:fill="auto" w:val="clear"/>
        </w:rPr>
      </w:r>
    </w:p>
    <w:p>
      <w:pPr>
        <w:pStyle w:val="Nivel01"/>
        <w:numPr>
          <w:ilvl w:val="0"/>
          <w:numId w:val="228"/>
        </w:numPr>
        <w:ind w:left="0" w:hanging="0"/>
        <w:rPr>
          <w:color w:val="FFFFFF" w:themeColor="background1"/>
        </w:rPr>
      </w:pPr>
      <w:r>
        <w:rPr/>
        <w:t>CLÁUSULA DÉCIMA QU</w:t>
      </w:r>
      <w:r>
        <w:rPr>
          <w:rFonts w:eastAsia="" w:cs="Arial"/>
          <w:b/>
          <w:bCs/>
          <w:color w:val="auto"/>
          <w:kern w:val="0"/>
          <w:sz w:val="20"/>
          <w:szCs w:val="20"/>
          <w:lang w:val="pt-BR" w:eastAsia="pt-BR" w:bidi="ar-SA"/>
        </w:rPr>
        <w:t>IN</w:t>
      </w:r>
      <w:r>
        <w:rPr/>
        <w:t>TA – DOS CASOS OMISSOS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229"/>
        </w:numPr>
        <w:ind w:left="0" w:hanging="0"/>
        <w:rPr/>
      </w:pPr>
      <w:commentRangeStart w:id="18"/>
      <w:r>
        <w:rPr/>
        <w:t xml:space="preserve">Os casos omissos serão decididos pelo contratante, segundo as disposições contidas na Lei </w:t>
      </w:r>
      <w:hyperlink r:id="rId4">
        <w:r>
          <w:rPr>
            <w:rStyle w:val="LinkdaInternet"/>
          </w:rPr>
          <w:t>nº 14.133, de 2021</w:t>
        </w:r>
      </w:hyperlink>
      <w:r>
        <w:rPr/>
        <w:t xml:space="preserve">, e demais normas federais aplicáveis e, subsidiariamente, segundo as disposições contidas na </w:t>
      </w:r>
      <w:hyperlink r:id="rId5">
        <w:r>
          <w:rPr>
            <w:rStyle w:val="LinkdaInternet"/>
          </w:rPr>
          <w:t>Lei nº 8.078, de 1990 – Código de Defesa do Consumidor</w:t>
        </w:r>
      </w:hyperlink>
      <w:r>
        <w:rPr/>
        <w:t xml:space="preserve"> – e normas e princípios gerais dos contratos.</w:t>
      </w:r>
      <w:commentRangeEnd w:id="18"/>
      <w:r>
        <w:commentReference w:id="18"/>
      </w:r>
      <w:r>
        <w:rPr/>
      </w:r>
    </w:p>
    <w:p>
      <w:pPr>
        <w:pStyle w:val="Nivel01"/>
        <w:numPr>
          <w:ilvl w:val="0"/>
          <w:numId w:val="230"/>
        </w:numPr>
        <w:ind w:left="0" w:hanging="0"/>
        <w:rPr>
          <w:color w:val="FFFFFF" w:themeColor="background1"/>
        </w:rPr>
      </w:pPr>
      <w:r>
        <w:rPr/>
        <w:t>CLÁUSULA DÉCIMA SEXTA – PUBLICAÇÃO</w:t>
      </w:r>
    </w:p>
    <w:p>
      <w:pPr>
        <w:pStyle w:val="Nivel2"/>
        <w:numPr>
          <w:ilvl w:val="1"/>
          <w:numId w:val="231"/>
        </w:numPr>
        <w:ind w:left="0" w:hanging="0"/>
        <w:rPr/>
      </w:pPr>
      <w:r>
        <w:rPr/>
        <w:t>Incumbirá ao contratante divulgar o presente instrumento no Portal Nacional de Contratações Públicas (PNCP), na fo</w:t>
      </w:r>
      <w:r>
        <w:rPr>
          <w:shd w:fill="auto" w:val="clear"/>
        </w:rPr>
        <w:t xml:space="preserve">rma prevista no </w:t>
      </w:r>
      <w:r>
        <w:fldChar w:fldCharType="begin"/>
      </w:r>
      <w:r>
        <w:rPr>
          <w:rStyle w:val="LinkdaInternet"/>
        </w:rPr>
        <w:instrText>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shd w:fill="auto" w:val="clear"/>
        </w:rPr>
        <w:t xml:space="preserve">, bem como no respectivo sítio oficial na Internet, em atenção ao art. 91, </w:t>
      </w:r>
      <w:r>
        <w:rPr>
          <w:i/>
          <w:shd w:fill="auto" w:val="clear"/>
        </w:rPr>
        <w:t>caput,</w:t>
      </w:r>
      <w:r>
        <w:rPr>
          <w:shd w:fill="auto" w:val="clear"/>
        </w:rPr>
        <w:t xml:space="preserve"> da Lei n.º 14.133, de 2021, e ao </w:t>
      </w:r>
      <w:r>
        <w:fldChar w:fldCharType="begin"/>
      </w:r>
      <w:r>
        <w:rPr>
          <w:rStyle w:val="LinkdaInternet"/>
        </w:rPr>
        <w:instrText> HYPERLINK "https://www.planalto.gov.br/ccivil_03/_ato2011-2014/2011/lei/l12527.htm" \l "art8§2"</w:instrText>
      </w:r>
      <w:r>
        <w:rPr>
          <w:rStyle w:val="LinkdaInternet"/>
        </w:rPr>
        <w:fldChar w:fldCharType="separate"/>
      </w:r>
      <w:r>
        <w:rPr>
          <w:rStyle w:val="LinkdaInternet"/>
        </w:rPr>
        <w:t>ar</w:t>
      </w:r>
      <w:r>
        <w:rPr>
          <w:rStyle w:val="LinkdaInternet"/>
        </w:rPr>
        <w:fldChar w:fldCharType="end"/>
      </w:r>
      <w:r>
        <w:rPr>
          <w:rStyle w:val="LinkdaInternet"/>
        </w:rPr>
        <w:t>t. 8º, §2º, da Lei n. 12.527, de 2011</w:t>
      </w:r>
      <w:r>
        <w:rPr/>
        <w:t xml:space="preserve">, c/c </w:t>
      </w:r>
      <w:r>
        <w:fldChar w:fldCharType="begin"/>
      </w:r>
      <w:r>
        <w:rPr>
          <w:rStyle w:val="LinkdaInternet"/>
        </w:rPr>
        <w:instrText>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w:t>
      </w:r>
    </w:p>
    <w:p>
      <w:pPr>
        <w:pStyle w:val="Nivel01"/>
        <w:numPr>
          <w:ilvl w:val="0"/>
          <w:numId w:val="232"/>
        </w:numPr>
        <w:ind w:left="0" w:hanging="0"/>
        <w:rPr>
          <w:color w:val="FFFFFF" w:themeColor="background1"/>
        </w:rPr>
      </w:pPr>
      <w:r>
        <w:rPr/>
        <w:t>CLÁUSULA DÉCIMA SÉTIMA– FORO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233"/>
        </w:numPr>
        <w:ind w:left="0" w:hanging="0"/>
        <w:rPr/>
      </w:pPr>
      <w:r>
        <w:rPr>
          <w:sz w:val="20"/>
          <w:szCs w:val="20"/>
        </w:rPr>
        <w:t>Fica eleito o Foro da Justiça Federal em Mato Grosso do Sul, Seção Judiciária do Campo Grande - MS, para dirimir os litígios que decorrerem da execução deste Termo de Referência que não puderem ser compostos pela conciliação, conforme art. 92, §1º, da Lei nº 14.133/2021</w:t>
      </w:r>
    </w:p>
    <w:p>
      <w:pPr>
        <w:pStyle w:val="Nivel2"/>
        <w:numPr>
          <w:ilvl w:val="0"/>
          <w:numId w:val="0"/>
        </w:numPr>
        <w:spacing w:lineRule="auto" w:line="312" w:before="120" w:after="288"/>
        <w:ind w:left="0" w:firstLine="567"/>
        <w:jc w:val="right"/>
        <w:rPr>
          <w:i/>
          <w:i/>
          <w:iCs/>
          <w:color w:val="auto"/>
        </w:rPr>
      </w:pPr>
      <w:r>
        <w:rPr>
          <w:i/>
          <w:iCs/>
          <w:color w:val="auto"/>
        </w:rPr>
        <w:t>Campo Grande, MS, ____ de __________ de 2025.</w:t>
      </w:r>
    </w:p>
    <w:p>
      <w:pPr>
        <w:pStyle w:val="Normal"/>
        <w:spacing w:lineRule="auto" w:line="240" w:before="0" w:after="0"/>
        <w:ind w:firstLine="567"/>
        <w:jc w:val="center"/>
        <w:rPr>
          <w:rFonts w:ascii="Arial" w:hAnsi="Arial" w:cs="Arial"/>
          <w:bCs/>
          <w:sz w:val="20"/>
          <w:szCs w:val="20"/>
        </w:rPr>
      </w:pPr>
      <w:commentRangeStart w:id="19"/>
      <w:r>
        <w:rPr>
          <w:rFonts w:cs="Arial" w:ascii="Arial" w:hAnsi="Arial"/>
          <w:bCs/>
          <w:color w:val="auto"/>
          <w:sz w:val="20"/>
          <w:szCs w:val="20"/>
        </w:rPr>
        <w:t>__________________________________</w:t>
      </w:r>
    </w:p>
    <w:p>
      <w:pPr>
        <w:pStyle w:val="Normal"/>
        <w:spacing w:lineRule="auto" w:line="240" w:before="0" w:after="0"/>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240" w:before="0" w:after="0"/>
        <w:ind w:firstLine="567"/>
        <w:jc w:val="center"/>
        <w:rPr>
          <w:rFonts w:ascii="Arial" w:hAnsi="Arial" w:cs="Arial"/>
          <w:bCs/>
          <w:sz w:val="20"/>
          <w:szCs w:val="20"/>
        </w:rPr>
      </w:pPr>
      <w:r>
        <w:rPr>
          <w:rFonts w:cs="Arial" w:ascii="Arial" w:hAnsi="Arial"/>
          <w:bCs/>
          <w:sz w:val="20"/>
          <w:szCs w:val="20"/>
        </w:rPr>
      </w:r>
    </w:p>
    <w:p>
      <w:pPr>
        <w:pStyle w:val="Normal"/>
        <w:spacing w:lineRule="auto" w:line="240" w:before="0" w:after="0"/>
        <w:ind w:firstLine="567"/>
        <w:jc w:val="center"/>
        <w:rPr>
          <w:rFonts w:ascii="Arial" w:hAnsi="Arial" w:cs="Arial"/>
          <w:bCs/>
          <w:sz w:val="20"/>
          <w:szCs w:val="20"/>
        </w:rPr>
      </w:pPr>
      <w:r>
        <w:rPr>
          <w:rFonts w:cs="Arial" w:ascii="Arial" w:hAnsi="Arial"/>
          <w:bCs/>
          <w:sz w:val="20"/>
          <w:szCs w:val="20"/>
        </w:rPr>
      </w:r>
    </w:p>
    <w:p>
      <w:pPr>
        <w:pStyle w:val="Normal"/>
        <w:spacing w:lineRule="auto" w:line="240" w:before="0" w:after="0"/>
        <w:ind w:firstLine="567"/>
        <w:jc w:val="center"/>
        <w:rPr>
          <w:rFonts w:ascii="Arial" w:hAnsi="Arial" w:cs="Arial"/>
          <w:bCs/>
          <w:sz w:val="20"/>
          <w:szCs w:val="20"/>
        </w:rPr>
      </w:pPr>
      <w:r>
        <w:rPr>
          <w:rFonts w:cs="Arial" w:ascii="Arial" w:hAnsi="Arial"/>
          <w:bCs/>
          <w:sz w:val="20"/>
          <w:szCs w:val="20"/>
        </w:rPr>
      </w:r>
    </w:p>
    <w:p>
      <w:pPr>
        <w:pStyle w:val="Normal"/>
        <w:spacing w:lineRule="auto" w:line="240" w:before="0" w:after="0"/>
        <w:ind w:firstLine="567"/>
        <w:jc w:val="center"/>
        <w:rPr>
          <w:rFonts w:ascii="Arial" w:hAnsi="Arial" w:cs="Arial"/>
          <w:sz w:val="20"/>
          <w:szCs w:val="20"/>
        </w:rPr>
      </w:pPr>
      <w:r>
        <w:rPr>
          <w:rFonts w:cs="Arial" w:ascii="Arial" w:hAnsi="Arial"/>
          <w:sz w:val="20"/>
          <w:szCs w:val="20"/>
        </w:rPr>
        <w:t>_________________________________</w:t>
      </w:r>
    </w:p>
    <w:p>
      <w:pPr>
        <w:pStyle w:val="Normal"/>
        <w:spacing w:lineRule="auto" w:line="240" w:before="0" w:after="0"/>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auto"/>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auto"/>
          <w:sz w:val="20"/>
          <w:szCs w:val="20"/>
        </w:rPr>
        <w:t>1- _____________________</w:t>
      </w:r>
    </w:p>
    <w:p>
      <w:pPr>
        <w:pStyle w:val="Normal"/>
        <w:spacing w:lineRule="auto" w:line="312" w:before="120" w:after="288"/>
        <w:ind w:firstLine="567"/>
        <w:jc w:val="left"/>
        <w:rPr>
          <w:rFonts w:ascii="Arial" w:hAnsi="Arial" w:cs="Arial"/>
          <w:sz w:val="20"/>
          <w:szCs w:val="20"/>
        </w:rPr>
      </w:pPr>
      <w:r>
        <w:rPr>
          <w:rFonts w:cs="Arial" w:ascii="Arial" w:hAnsi="Arial"/>
          <w:bCs/>
          <w:i/>
          <w:iCs/>
          <w:color w:val="auto"/>
          <w:sz w:val="20"/>
          <w:szCs w:val="20"/>
        </w:rPr>
        <w:t>2-  _____________________</w:t>
      </w:r>
      <w:commentRangeEnd w:id="19"/>
      <w:r>
        <w:commentReference w:id="19"/>
      </w:r>
      <w:r>
        <w:rPr>
          <w:rFonts w:cs="Arial" w:ascii="Arial" w:hAnsi="Arial"/>
          <w:bCs/>
          <w:i/>
          <w:iCs/>
          <w:color w:val="auto"/>
          <w:sz w:val="20"/>
          <w:szCs w:val="20"/>
        </w:rPr>
      </w:r>
    </w:p>
    <w:sectPr>
      <w:headerReference w:type="default" r:id="rId6"/>
      <w:footerReference w:type="default" r:id="rId7"/>
      <w:type w:val="nextPage"/>
      <w:pgSz w:w="11906" w:h="16838"/>
      <w:pgMar w:left="1134" w:right="1134" w:header="709" w:top="1418"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1"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Esta tabela é meramente ilustrativa, devendo ser ajustada conforme o caso concreto.</w:t>
      </w:r>
    </w:p>
  </w:comment>
  <w:comment w:id="2"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Utilizar esta redação para contratos de escopo, cuja vigência se fundamenta no art. 105 da Lei n.º 14.133, de 2021.</w:t>
      </w:r>
    </w:p>
  </w:comment>
  <w:comment w:id="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O cômputo do valor total do Termo de Contrato levará em conta o período inicial de vigência estabelecido.</w:t>
      </w:r>
    </w:p>
  </w:comment>
  <w:comment w:id="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o subitem acima.</w:t>
      </w:r>
    </w:p>
  </w:comment>
  <w:comment w:id="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7"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disposição do item 8.11 decorre do §4º, do art. 137, da Lei nº 14.133, de 2021.</w:t>
      </w:r>
    </w:p>
  </w:comment>
  <w:comment w:id="1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Segoe UI"/>
          <w:i/>
          <w:iCs/>
          <w:lang w:val="en-US" w:eastAsia="en-US" w:bidi="en-US"/>
        </w:rPr>
        <w:t>objeto.</w:t>
      </w:r>
    </w:p>
  </w:comment>
  <w:comment w:id="1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3"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2"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No caso de aquisição de bens com prestação de serviços acessória, recomenda-se avaliar a inclusão dos subitens 9.18 a 9.22.</w:t>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As cláusulas 9.18 a 9.22 são meramente indicativas. Pode ser necessário que se suprimam algumas das obrigações ou se arrolem outras, conforme as peculiaridades do órgão e as especificações do objeto a ser executado.</w:t>
      </w:r>
    </w:p>
    <w:p>
      <w:r>
        <w:rPr>
          <w:rFonts w:ascii="Liberation Serif" w:hAnsi="Liberation Serif" w:eastAsia="Segoe UI"/>
          <w:b/>
          <w:bCs/>
          <w:i/>
          <w:iCs/>
          <w:color w:val="000000"/>
          <w:lang w:val="en-US" w:eastAsia="en-US" w:bidi="en-US"/>
        </w:rPr>
        <w:t xml:space="preserve">Nota Explicativa 3: </w:t>
      </w:r>
      <w:r>
        <w:rPr>
          <w:rFonts w:ascii="Liberation Serif" w:hAnsi="Liberation Serif" w:eastAsia="Segoe UI"/>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lang w:val="en-US" w:eastAsia="en-US" w:bidi="en-US"/>
        </w:rPr>
        <w:t xml:space="preserve"> </w:t>
      </w:r>
      <w:r>
        <w:rPr>
          <w:rFonts w:ascii="Liberation Serif" w:hAnsi="Liberation Serif" w:eastAsia="Segoe UI"/>
          <w:i/>
          <w:iCs/>
          <w:color w:val="000000"/>
          <w:lang w:val="en-US" w:eastAsia="en-US" w:bidi="en-US"/>
        </w:rPr>
        <w:t xml:space="preserve">Use a redação dos itens 12.1, 12.2, 12.2.1 para os contratos por escopo (o objeto é contratado para ser prestado em determinado prazo). Ex. Compra pontual de sofás, aquisição e instalação de servidores. </w:t>
      </w:r>
    </w:p>
  </w:comment>
  <w:comment w:id="16"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lang w:val="en-US" w:eastAsia="en-US" w:bidi="en-US"/>
        </w:rPr>
        <w:t xml:space="preserve"> 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r>
        <w:rPr>
          <w:rFonts w:ascii="Liberation Serif" w:hAnsi="Liberation Serif" w:eastAsia="Segoe UI"/>
          <w:lang w:val="en-US" w:eastAsia="en-US" w:bidi="en-US"/>
        </w:rPr>
        <w:t> </w:t>
      </w:r>
    </w:p>
    <w:p>
      <w:r>
        <w:rPr>
          <w:rFonts w:ascii="Liberation Serif" w:hAnsi="Liberation Serif" w:eastAsia="Segoe UI"/>
          <w:lang w:val="en-US" w:eastAsia="en-US" w:bidi="en-US"/>
        </w:rPr>
        <w:t xml:space="preserve">"36. Diante de tudo quanto exposto, conclui-se ser possível a supressão parcial consensual de contrato administrativo em percentual superior àqueles estabelecidos pelo art. 125 da Lei 14.133/2021. </w:t>
      </w:r>
    </w:p>
    <w:p>
      <w:r>
        <w:rPr>
          <w:rFonts w:ascii="Liberation Serif" w:hAnsi="Liberation Serif" w:eastAsia="Segoe UI"/>
          <w:lang w:val="en-US" w:eastAsia="en-US" w:bidi="en-US"/>
        </w:rPr>
        <w:t>37. Tal supressão parcial consensual do contrato administrativo deve respeitar os princípios enunciados no art. 5º da Lei 14.133/2021; deve ser adequadamente fundamentada; e pode ensejar a responsabilização de servidor por falha do projeto.</w:t>
      </w:r>
    </w:p>
    <w:p>
      <w:r>
        <w:rPr>
          <w:rFonts w:ascii="Liberation Serif" w:hAnsi="Liberation Serif" w:eastAsia="Segoe UI"/>
          <w:lang w:val="en-US" w:eastAsia="en-US" w:bidi="en-US"/>
        </w:rPr>
        <w:t>38. Sugere-se, ainda, veicular, no edital da licitação, a possibilidade de supressão do contrato administrativo de maneira consensual em percentual superior ao estabelecido no art. 125 da Lei 14.133/2021."</w:t>
      </w:r>
    </w:p>
  </w:comment>
  <w:comment w:id="1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1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r>
        <w:rPr>
          <w:rFonts w:ascii="Liberation Serif" w:hAnsi="Liberation Serif" w:eastAsia="Segoe UI"/>
          <w:i/>
          <w:iCs/>
          <w:color w:val="000000"/>
          <w:lang w:val="en-US" w:eastAsia="en-US" w:bidi="en-US"/>
        </w:rPr>
        <w:t>Vide: Nota n. 00013/2021/DECOR/CGU/AGU e respectivos Despachos de Aprovação -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SimSun">
    <w:charset w:val="00"/>
    <w:family w:val="roman"/>
    <w:pitch w:val="variable"/>
  </w:font>
  <w:font w:name="Arial-BoldMT">
    <w:charset w:val="00"/>
    <w:family w:val="roman"/>
    <w:pitch w:val="variable"/>
  </w:font>
  <w:font w:name="TimesNewRomanPSM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34032473"/>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8</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sz w:val="18"/>
            <w:szCs w:val="18"/>
          </w:rPr>
          <w:fldChar w:fldCharType="begin"/>
        </w:r>
        <w:r>
          <w:rPr>
            <w:sz w:val="18"/>
            <w:szCs w:val="18"/>
            <w:rFonts w:cs="Arial" w:ascii="Arial" w:hAnsi="Arial"/>
          </w:rPr>
          <w:instrText> NUMPAGES </w:instrText>
        </w:r>
        <w:r>
          <w:rPr>
            <w:sz w:val="18"/>
            <w:szCs w:val="18"/>
            <w:rFonts w:cs="Arial" w:ascii="Arial" w:hAnsi="Arial"/>
          </w:rPr>
          <w:fldChar w:fldCharType="separate"/>
        </w:r>
        <w:r>
          <w:rPr>
            <w:sz w:val="18"/>
            <w:szCs w:val="18"/>
            <w:rFonts w:cs="Arial" w:ascii="Arial" w:hAnsi="Arial"/>
          </w:rPr>
          <w:t>8</w:t>
        </w:r>
        <w:r>
          <w:rPr>
            <w:sz w:val="18"/>
            <w:szCs w:val="18"/>
            <w:rFonts w:cs="Arial" w:ascii="Arial" w:hAnsi="Arial"/>
          </w:rPr>
          <w:fldChar w:fldCharType="end"/>
        </w:r>
      </w:p>
      <w:p>
        <w:pPr>
          <w:pStyle w:val="Normal"/>
          <w:pageBreakBefore w:val="false"/>
          <w:numPr>
            <w:ilvl w:val="0"/>
            <w:numId w:val="0"/>
          </w:numPr>
          <w:tabs>
            <w:tab w:val="clear" w:pos="720"/>
            <w:tab w:val="left" w:pos="709" w:leader="none"/>
          </w:tabs>
          <w:spacing w:lineRule="atLeast" w:line="100"/>
          <w:outlineLvl w:val="0"/>
          <w:rPr/>
        </w:pPr>
        <w:r>
          <w:rPr>
            <w:rStyle w:val="Fontepargpadro"/>
            <w:rFonts w:eastAsia="TimesNewRomanPSMT" w:cs="TimesNewRomanPSMT" w:ascii="TimesNewRomanPSMT" w:hAnsi="TimesNewRomanPSMT"/>
            <w:b/>
            <w:bCs/>
            <w:color w:val="000000"/>
            <w:sz w:val="16"/>
            <w:szCs w:val="12"/>
            <w:lang w:val="en-US"/>
          </w:rPr>
          <w:t xml:space="preserve">HMilACG </w:t>
        </w:r>
        <w:r>
          <w:rPr>
            <w:rFonts w:eastAsia="TimesNewRomanPSMT" w:cs="TimesNewRomanPSMT" w:ascii="TimesNewRomanPSMT" w:hAnsi="TimesNewRomanPSMT"/>
            <w:b/>
            <w:bCs/>
            <w:color w:val="000000"/>
            <w:sz w:val="16"/>
            <w:szCs w:val="12"/>
            <w:lang w:val="en-US"/>
          </w:rPr>
          <w:t>– SALC – CNPJ: 09.539.711/0001-03 – TEL (67) 3368-5350</w:t>
        </w:r>
      </w:p>
      <w:p>
        <w:pPr>
          <w:pStyle w:val="Normal"/>
          <w:numPr>
            <w:ilvl w:val="0"/>
            <w:numId w:val="0"/>
          </w:numPr>
          <w:tabs>
            <w:tab w:val="clear" w:pos="720"/>
            <w:tab w:val="left" w:pos="709" w:leader="none"/>
          </w:tabs>
          <w:spacing w:lineRule="atLeast" w:line="100"/>
          <w:outlineLvl w:val="0"/>
          <w:rPr>
            <w:rFonts w:ascii="TimesNewRomanPSMT" w:hAnsi="TimesNewRomanPSMT" w:eastAsia="TimesNewRomanPSMT" w:cs="TimesNewRomanPSMT"/>
            <w:color w:val="000000"/>
            <w:sz w:val="16"/>
          </w:rPr>
        </w:pPr>
        <w:r>
          <w:rPr>
            <w:rFonts w:eastAsia="TimesNewRomanPSMT" w:cs="TimesNewRomanPSMT" w:ascii="TimesNewRomanPSMT" w:hAnsi="TimesNewRomanPSMT"/>
            <w:color w:val="000000"/>
            <w:sz w:val="16"/>
          </w:rPr>
          <w:t>Email: salc-pregaoedital@hmilacg.eb.mil.br</w:t>
        </w:r>
      </w:p>
      <w:p>
        <w:pPr>
          <w:pStyle w:val="Normal"/>
          <w:numPr>
            <w:ilvl w:val="0"/>
            <w:numId w:val="0"/>
          </w:numPr>
          <w:tabs>
            <w:tab w:val="clear" w:pos="720"/>
            <w:tab w:val="left" w:pos="709" w:leader="none"/>
          </w:tabs>
          <w:spacing w:lineRule="atLeast" w:line="100"/>
          <w:outlineLvl w:val="0"/>
          <w:rPr>
            <w:rFonts w:ascii="TimesNewRomanPSMT" w:hAnsi="TimesNewRomanPSMT" w:eastAsia="TimesNewRomanPSMT" w:cs="TimesNewRomanPSMT"/>
            <w:color w:val="000000"/>
            <w:sz w:val="16"/>
          </w:rPr>
        </w:pPr>
        <w:r>
          <w:rPr>
            <w:rFonts w:eastAsia="TimesNewRomanPSMT" w:cs="TimesNewRomanPSMT" w:ascii="TimesNewRomanPSMT" w:hAnsi="TimesNewRomanPSMT"/>
            <w:color w:val="000000"/>
            <w:sz w:val="16"/>
          </w:rPr>
          <w:t>AV. DUQUE DE CAXIAS No 474 BAIRRO VILA ALBA – CAMPO GRANDE/MS – CEP 79100-400</w:t>
        </w:r>
      </w:p>
      <w:p>
        <w:pPr>
          <w:pStyle w:val="Normal"/>
          <w:keepNext w:val="false"/>
          <w:keepLines w:val="false"/>
          <w:widowControl/>
          <w:numPr>
            <w:ilvl w:val="0"/>
            <w:numId w:val="0"/>
          </w:numPr>
          <w:tabs>
            <w:tab w:val="clear" w:pos="720"/>
            <w:tab w:val="center" w:pos="4252" w:leader="none"/>
            <w:tab w:val="right" w:pos="8504" w:leader="none"/>
          </w:tabs>
          <w:spacing w:lineRule="auto" w:line="240" w:before="0" w:after="0"/>
          <w:ind w:left="0" w:right="0" w:hanging="0"/>
          <w:jc w:val="left"/>
          <w:outlineLvl w:val="0"/>
          <w:rPr>
            <w:rFonts w:ascii="Arial" w:hAnsi="Arial" w:cs="Arial"/>
            <w:sz w:val="14"/>
            <w:szCs w:val="14"/>
          </w:rPr>
        </w:pPr>
        <w:r>
          <w:rPr>
            <w:rFonts w:eastAsia="Arial-BoldMT" w:cs="TimesNewRomanPSMT" w:ascii="Arial" w:hAnsi="Arial"/>
            <w:b/>
            <w:bCs/>
            <w:i w:val="false"/>
            <w:caps w:val="false"/>
            <w:smallCaps w:val="false"/>
            <w:strike w:val="false"/>
            <w:dstrike w:val="false"/>
            <w:color w:val="666666"/>
            <w:kern w:val="2"/>
            <w:position w:val="0"/>
            <w:sz w:val="14"/>
            <w:sz w:val="14"/>
            <w:szCs w:val="14"/>
            <w:u w:val="none"/>
            <w:vertAlign w:val="baseline"/>
            <w:lang w:val="en-US" w:eastAsia="zh-CN" w:bidi="ar-SA"/>
          </w:rPr>
          <w:t>PR ELT Nº 90043</w:t>
        </w:r>
        <w:r>
          <w:rPr>
            <w:rFonts w:eastAsia="Arial-BoldMT" w:cs="TimesNewRomanPSMT" w:ascii="Arial" w:hAnsi="Arial"/>
            <w:b/>
            <w:bCs/>
            <w:i w:val="false"/>
            <w:caps w:val="false"/>
            <w:smallCaps w:val="false"/>
            <w:strike w:val="false"/>
            <w:dstrike w:val="false"/>
            <w:color w:val="666666"/>
            <w:w w:val="100"/>
            <w:kern w:val="0"/>
            <w:position w:val="0"/>
            <w:sz w:val="14"/>
            <w:sz w:val="14"/>
            <w:szCs w:val="14"/>
            <w:u w:val="none"/>
            <w:effect w:val="none"/>
            <w:vertAlign w:val="baseline"/>
            <w:em w:val="none"/>
            <w:lang w:val="en-US" w:eastAsia="pt-BR" w:bidi="ar-SA"/>
          </w:rPr>
          <w:t>/</w:t>
        </w:r>
        <w:r>
          <w:rPr>
            <w:rFonts w:eastAsia="Arial-BoldMT" w:cs="TimesNewRomanPSMT" w:ascii="Arial" w:hAnsi="Arial"/>
            <w:b/>
            <w:bCs/>
            <w:i w:val="false"/>
            <w:caps w:val="false"/>
            <w:smallCaps w:val="false"/>
            <w:strike w:val="false"/>
            <w:dstrike w:val="false"/>
            <w:color w:val="666666"/>
            <w:kern w:val="2"/>
            <w:position w:val="0"/>
            <w:sz w:val="14"/>
            <w:sz w:val="14"/>
            <w:szCs w:val="14"/>
            <w:u w:val="none"/>
            <w:vertAlign w:val="baseline"/>
            <w:lang w:val="en-US" w:eastAsia="zh-CN" w:bidi="ar-SA"/>
          </w:rPr>
          <w:t>2024</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T</w:t>
    </w:r>
    <w:r>
      <w:pict>
        <v:shapetype id="shapetype_136" coordsize="21600,21600" o:spt="136" adj="10800" path="m@9,l@10,em@11,21600l@12,21600e">
          <v:stroke joinstyle="miter"/>
          <v:formulas>
            <v:f eqn="val #0"/>
            <v:f eqn="sum @0 0 10800"/>
            <v:f eqn="sum @0 0 0"/>
            <v:f eqn="sum width 0 @0"/>
            <v:f eqn="prod @2 2 1"/>
            <v:f eqn="prod @3 2 1"/>
            <v:f eqn="if @1 @5 @4"/>
            <v:f eqn="sum 0 @6 0"/>
            <v:f eqn="sum width 0 @6"/>
            <v:f eqn="if @1 0 @8"/>
            <v:f eqn="if @1 @7 width"/>
            <v:f eqn="if @1 @8 0"/>
            <v:f eqn="if @1 width @7"/>
          </v:formulas>
          <v:handles>
            <v:h position="@0,21600"/>
          </v:handles>
        </v:shapetype>
        <v:shape id="PowerPlusWaterMarkObject" o:spid="shape_0" fillcolor="silver" stroked="f" style="position:absolute;margin-left:0.2pt;margin-top:266.55pt;width:481.5pt;height:142.45pt;rotation:315;mso-position-horizontal:center;mso-position-vertical:center;mso-position-vertical-relative:margin" type="shapetype_136">
          <v:path textpathok="t"/>
          <v:textpath on="t" fitshape="t" string="MINUTA" trim="t" style="font-family:&quot;Liberation Sans&quot;;font-size:1pt"/>
          <w10:wrap type="none"/>
          <v:fill o:detectmouseclick="t" type="solid" color2="#3f3f3f" opacity="0.5"/>
          <v:stroke color="#3465a4" joinstyle="round" endcap="flat"/>
        </v:shape>
      </w:pict>
    </w:r>
    <w:r>
      <w:rPr>
        <w:rFonts w:cs="Arial" w:ascii="Arial" w:hAnsi="Arial"/>
        <w:b/>
        <w:bCs/>
        <w:sz w:val="20"/>
        <w:szCs w:val="20"/>
      </w:rPr>
      <w:t>E</w:t>
    </w:r>
    <w:r>
      <w:rPr>
        <w:rFonts w:cs="Arial" w:ascii="Arial" w:hAnsi="Arial"/>
        <w:b/>
        <w:bCs/>
        <w:sz w:val="20"/>
        <w:szCs w:val="20"/>
      </w:rPr>
      <w:t>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20">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21">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22">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23">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24">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25">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26">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27">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28">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29">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30">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31">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32">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33">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34">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35">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36">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37">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38">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39">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40">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41">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42">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43">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44">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45">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46">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47">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48">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49">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50">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51">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52">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53">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54">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55">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56">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57">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58">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59">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60">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61">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62">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63">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64">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65">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66">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67">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68">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69">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70">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71">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72">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73">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74">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75">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76">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77">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78">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79">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80">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81">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82">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83">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84">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85">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86">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87">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88">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89">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90">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91">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92">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93">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94">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95">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96">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97">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98">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199">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00">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01">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02">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03">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04">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05">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06">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07">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08">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09">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10">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11">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12">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13">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14">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15">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16">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17">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18">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19">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20">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21">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22">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23">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24">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25">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26">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27">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28">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29">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30">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31">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32">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 w:numId="233">
    <w:abstractNumId w:val="2"/>
    <w:lvlOverride w:ilvl="0">
      <w:lvl w:ilvl="0">
        <w:start w:val="1"/>
        <w:numFmt w:val="decimal"/>
        <w:lvlText w:val="%1."/>
        <w:lvlJc w:val="left"/>
        <w:pPr>
          <w:ind w:left="360" w:hanging="360"/>
        </w:pPr>
        <w:rPr>
          <w:b/>
        </w:rPr>
      </w:lvl>
    </w:lvlOverride>
    <w:lvlOverride w:ilvl="1">
      <w:lvl w:ilvl="1">
        <w:start w:val="1"/>
        <w:numFmt w:val="decimal"/>
        <w:lvlText w:val="%1.%2."/>
        <w:lvlJc w:val="left"/>
        <w:pPr>
          <w:ind w:left="999"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bering>
</file>

<file path=word/settings.xml><?xml version="1.0" encoding="utf-8"?>
<w:settings xmlns:w="http://schemas.openxmlformats.org/wordprocessingml/2006/main">
  <w:zoom w:percent="110"/>
  <w:mirrorMargins/>
  <w:defaultTabStop w:val="720"/>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20"/>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Ncoradanotaderodap">
    <w:name w:val="Âncora da nota de rodapé"/>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Refdecomentrio1">
    <w:name w:val="Ref. de comentário1"/>
    <w:qFormat/>
    <w:rPr>
      <w:w w:val="100"/>
      <w:position w:val="0"/>
      <w:sz w:val="16"/>
      <w:sz w:val="16"/>
      <w:szCs w:val="16"/>
      <w:effect w:val="none"/>
      <w:vertAlign w:val="baseline"/>
      <w:em w:val="none"/>
    </w:rPr>
  </w:style>
  <w:style w:type="character" w:styleId="Fontepargpadro">
    <w:name w:val="Fonte parág. padrão"/>
    <w:qFormat/>
    <w:rPr>
      <w:w w:val="100"/>
      <w:position w:val="0"/>
      <w:sz w:val="20"/>
      <w:sz w:val="20"/>
      <w:effect w:val="none"/>
      <w:vertAlign w:val="baseline"/>
      <w:em w:val="none"/>
    </w:rPr>
  </w:style>
  <w:style w:type="character" w:styleId="MenoPendente6">
    <w:name w:val="Menção Pendente6"/>
    <w:qFormat/>
    <w:rPr>
      <w:color w:val="605E5C"/>
      <w:shd w:fill="E1DFDD" w:val="clear"/>
    </w:rPr>
  </w:style>
  <w:style w:type="character" w:styleId="Citao2Char">
    <w:name w:val="citação 2 Char"/>
    <w:qFormat/>
    <w:rPr>
      <w:rFonts w:ascii="Arial" w:hAnsi="Arial" w:eastAsia="Calibri" w:cs="Tahoma"/>
      <w:i/>
      <w:iCs/>
      <w:color w:val="000000"/>
      <w:shd w:fill="FFFFCC" w:val="clear"/>
    </w:rPr>
  </w:style>
  <w:style w:type="character" w:styleId="Nfase1">
    <w:name w:val="Ênfase1"/>
    <w:qFormat/>
    <w:rPr>
      <w:i/>
      <w:iCs/>
    </w:rPr>
  </w:style>
  <w:style w:type="character" w:styleId="Refdecomentrio">
    <w:name w:val="Ref. de comentário"/>
    <w:qFormat/>
    <w:rPr>
      <w:sz w:val="16"/>
      <w:szCs w:val="16"/>
    </w:rPr>
  </w:style>
  <w:style w:type="character" w:styleId="Forte">
    <w:name w:val="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20"/>
        <w:tab w:val="center" w:pos="4252" w:leader="none"/>
        <w:tab w:val="right" w:pos="8504" w:leader="none"/>
      </w:tabs>
    </w:pPr>
    <w:rPr/>
  </w:style>
  <w:style w:type="paragraph" w:styleId="Rodap">
    <w:name w:val="Footer"/>
    <w:basedOn w:val="Normal"/>
    <w:link w:val="RodapChar"/>
    <w:uiPriority w:val="99"/>
    <w:rsid w:val="00ca24fb"/>
    <w:pPr>
      <w:tabs>
        <w:tab w:val="clear" w:pos="720"/>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tabs>
        <w:tab w:val="clear" w:pos="720"/>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21669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paragraph" w:styleId="TOCHeading">
    <w:name w:val="TOC Heading"/>
    <w:basedOn w:val="Ttulo1"/>
    <w:qFormat/>
    <w:pPr>
      <w:keepNext w:val="true"/>
      <w:keepLines/>
      <w:spacing w:lineRule="auto" w:line="252" w:before="240" w:after="0"/>
    </w:pPr>
    <w:rPr>
      <w:rFonts w:ascii="SimSun" w:hAnsi="SimSun" w:eastAsia="SimSun" w:cs="SimSun"/>
      <w:b w:val="false"/>
      <w:bCs w:val="false"/>
      <w:color w:val="366091"/>
      <w:sz w:val="32"/>
      <w:szCs w:val="32"/>
    </w:rPr>
  </w:style>
  <w:style w:type="paragraph" w:styleId="Ttulo11">
    <w:name w:val="Título1"/>
    <w:qFormat/>
    <w:pPr>
      <w:keepNext w:val="true"/>
      <w:widowControl/>
      <w:suppressAutoHyphens w:val="true"/>
      <w:bidi w:val="0"/>
      <w:spacing w:before="240" w:after="120"/>
      <w:jc w:val="left"/>
    </w:pPr>
    <w:rPr>
      <w:rFonts w:ascii="Liberation Sans" w:hAnsi="Liberation Sans" w:eastAsia="Microsoft YaHei" w:cs="Times New Roman"/>
      <w:color w:val="auto"/>
      <w:kern w:val="0"/>
      <w:sz w:val="28"/>
      <w:szCs w:val="28"/>
      <w:lang w:val="pt-BR" w:eastAsia="en-US" w:bidi="ar-SA"/>
    </w:rPr>
  </w:style>
  <w:style w:type="paragraph" w:styleId="Analtico1">
    <w:name w:val="Analítico 1"/>
    <w:qFormat/>
    <w:pPr>
      <w:widowControl/>
      <w:tabs>
        <w:tab w:val="clear" w:pos="720"/>
        <w:tab w:val="left" w:pos="426" w:leader="none"/>
        <w:tab w:val="right" w:pos="9628" w:leader="dot"/>
      </w:tabs>
      <w:suppressAutoHyphens w:val="true"/>
      <w:bidi w:val="0"/>
      <w:spacing w:before="0" w:after="100"/>
      <w:jc w:val="left"/>
    </w:pPr>
    <w:rPr>
      <w:rFonts w:ascii="Arial" w:hAnsi="Arial" w:eastAsia="Times New Roman" w:cs="Tahoma"/>
      <w:color w:val="auto"/>
      <w:kern w:val="0"/>
      <w:sz w:val="20"/>
      <w:szCs w:val="20"/>
      <w:lang w:val="pt-BR" w:eastAsia="en-US" w:bidi="ar-SA"/>
    </w:rPr>
  </w:style>
  <w:style w:type="paragraph" w:styleId="Textodenotaderodap">
    <w:name w:val="Texto de nota de rodapé"/>
    <w:qFormat/>
    <w:pPr>
      <w:widowControl/>
      <w:suppressAutoHyphens w:val="true"/>
      <w:bidi w:val="0"/>
      <w:spacing w:before="0" w:after="0"/>
      <w:ind w:left="339" w:hanging="339"/>
      <w:jc w:val="left"/>
    </w:pPr>
    <w:rPr>
      <w:rFonts w:ascii="Ecofont_Spranq_eco_Sans" w:hAnsi="Ecofont_Spranq_eco_Sans" w:eastAsia="SimSun" w:cs="Tahoma"/>
      <w:color w:val="auto"/>
      <w:kern w:val="0"/>
      <w:sz w:val="20"/>
      <w:szCs w:val="20"/>
      <w:lang w:val="pt-BR" w:eastAsia="en-US" w:bidi="ar-SA"/>
    </w:rPr>
  </w:style>
  <w:style w:type="paragraph" w:styleId="Textodebalo">
    <w:name w:val="Texto de balão"/>
    <w:qFormat/>
    <w:pPr>
      <w:widowControl/>
      <w:suppressAutoHyphens w:val="true"/>
      <w:bidi w:val="0"/>
      <w:spacing w:before="0" w:after="0"/>
      <w:jc w:val="left"/>
    </w:pPr>
    <w:rPr>
      <w:rFonts w:ascii="Tahoma" w:hAnsi="Tahoma" w:eastAsia="SimSun" w:cs="Tahoma"/>
      <w:color w:val="auto"/>
      <w:kern w:val="0"/>
      <w:sz w:val="16"/>
      <w:szCs w:val="16"/>
      <w:lang w:val="pt-BR" w:eastAsia="en-US" w:bidi="ar-SA"/>
    </w:rPr>
  </w:style>
  <w:style w:type="paragraph" w:styleId="Assuntodocomentrio">
    <w:name w:val="Assunto do comentário"/>
    <w:qFormat/>
    <w:pPr>
      <w:widowControl/>
      <w:suppressAutoHyphens w:val="true"/>
      <w:bidi w:val="0"/>
      <w:spacing w:before="0" w:after="0"/>
      <w:jc w:val="left"/>
    </w:pPr>
    <w:rPr>
      <w:rFonts w:ascii="Ecofont_Spranq_eco_Sans" w:hAnsi="Ecofont_Spranq_eco_Sans" w:eastAsia="SimSun" w:cs="Tahoma"/>
      <w:b/>
      <w:bCs/>
      <w:color w:val="auto"/>
      <w:kern w:val="0"/>
      <w:sz w:val="20"/>
      <w:szCs w:val="20"/>
      <w:lang w:val="pt-BR" w:eastAsia="en-US" w:bidi="ar-SA"/>
    </w:rPr>
  </w:style>
  <w:style w:type="paragraph" w:styleId="Commarcadores5">
    <w:name w:val="Com marcadores 5"/>
    <w:qFormat/>
    <w:pPr>
      <w:widowControl/>
      <w:suppressAutoHyphens w:val="true"/>
      <w:bidi w:val="0"/>
      <w:spacing w:before="0" w:after="0"/>
      <w:contextualSpacing/>
      <w:jc w:val="left"/>
    </w:pPr>
    <w:rPr>
      <w:rFonts w:ascii="Ecofont_Spranq_eco_Sans" w:hAnsi="Ecofont_Spranq_eco_Sans" w:eastAsia="SimSun" w:cs="Tahoma"/>
      <w:color w:val="auto"/>
      <w:kern w:val="0"/>
      <w:sz w:val="20"/>
      <w:szCs w:val="20"/>
      <w:lang w:val="pt-BR" w:eastAsia="en-US" w:bidi="ar-SA"/>
    </w:rPr>
  </w:style>
  <w:style w:type="paragraph" w:styleId="Textodecomentrio">
    <w:name w:val="Texto de comentário"/>
    <w:qFormat/>
    <w:pPr>
      <w:widowControl/>
      <w:suppressAutoHyphens w:val="true"/>
      <w:bidi w:val="0"/>
      <w:spacing w:before="0" w:after="0"/>
      <w:jc w:val="left"/>
    </w:pPr>
    <w:rPr>
      <w:rFonts w:ascii="Ecofont_Spranq_eco_Sans" w:hAnsi="Ecofont_Spranq_eco_Sans" w:eastAsia="SimSun" w:cs="Tahoma"/>
      <w:color w:val="auto"/>
      <w:kern w:val="0"/>
      <w:sz w:val="20"/>
      <w:szCs w:val="20"/>
      <w:lang w:val="pt-BR" w:eastAsia="en-US" w:bidi="ar-SA"/>
    </w:rPr>
  </w:style>
  <w:style w:type="paragraph" w:styleId="Corpodetexto">
    <w:name w:val="Corpo de texto"/>
    <w:qFormat/>
    <w:pPr>
      <w:widowControl/>
      <w:suppressAutoHyphens w:val="true"/>
      <w:bidi w:val="0"/>
      <w:spacing w:before="280" w:after="280"/>
      <w:jc w:val="left"/>
    </w:pPr>
    <w:rPr>
      <w:rFonts w:ascii="Times New Roman" w:hAnsi="Times New Roman" w:eastAsia="Times New Roman" w:cs="Times New Roman"/>
      <w:color w:val="auto"/>
      <w:kern w:val="0"/>
      <w:sz w:val="20"/>
      <w:szCs w:val="20"/>
      <w:lang w:val="pt-BR" w:eastAsia="en-US" w:bidi="ar-SA"/>
    </w:rPr>
  </w:style>
  <w:style w:type="paragraph" w:styleId="LOnormal">
    <w:name w:val="LO-normal"/>
    <w:qFormat/>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planalto.gov.br/ccivil_03/leis/l8078compilado.htm"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comments" Target="comment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284</TotalTime>
  <Application>LibreOffice/6.4.0.3$Windows_X86_64 LibreOffice_project/b0a288ab3d2d4774cb44b62f04d5d28733ac6df8</Application>
  <Pages>8</Pages>
  <Words>2835</Words>
  <Characters>16262</Characters>
  <CharactersWithSpaces>18870</CharactersWithSpaces>
  <Paragraphs>151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2025-04-11T11:22:09Z</dcterms:modified>
  <cp:revision>38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ies>
</file>